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B0D93" w:rsidR="00491CDE" w:rsidP="00023210" w:rsidRDefault="00023210" w14:paraId="5F032DCE" w14:textId="7960737B">
      <w:pPr>
        <w:jc w:val="center"/>
        <w:rPr>
          <w:rFonts w:ascii="Arial Black" w:hAnsi="Arial Black"/>
          <w:b/>
          <w:bCs/>
          <w:sz w:val="48"/>
          <w:szCs w:val="48"/>
          <w:lang w:val="es-ES"/>
        </w:rPr>
      </w:pPr>
      <w:r w:rsidRPr="001B0D93">
        <w:rPr>
          <w:rFonts w:ascii="Arial Black" w:hAnsi="Arial Black"/>
          <w:b/>
          <w:bCs/>
          <w:sz w:val="48"/>
          <w:szCs w:val="48"/>
          <w:lang w:val="es-ES"/>
        </w:rPr>
        <w:t>Eliminación de contaminantes al interior de las edificaciones</w:t>
      </w:r>
    </w:p>
    <w:p w:rsidRPr="00023210" w:rsidR="00023210" w:rsidP="00023210" w:rsidRDefault="00023210" w14:paraId="75240323" w14:textId="77777777">
      <w:pPr>
        <w:jc w:val="center"/>
        <w:rPr>
          <w:sz w:val="32"/>
          <w:szCs w:val="32"/>
        </w:rPr>
      </w:pPr>
    </w:p>
    <w:p w:rsidRPr="001B0D93" w:rsidR="00491CDE" w:rsidP="0AB59F2E" w:rsidRDefault="00023210" w14:paraId="7D859AB4" w14:textId="43163FA4">
      <w:pPr>
        <w:jc w:val="center"/>
        <w:rPr>
          <w:rFonts w:ascii="Arial" w:hAnsi="Arial"/>
          <w:b/>
          <w:bCs/>
          <w:sz w:val="24"/>
          <w:szCs w:val="24"/>
          <w:lang w:val="es-ES"/>
        </w:rPr>
      </w:pPr>
      <w:r w:rsidRPr="001B0D93">
        <w:rPr>
          <w:rFonts w:ascii="Arial" w:hAnsi="Arial"/>
          <w:b/>
          <w:bCs/>
          <w:sz w:val="24"/>
          <w:szCs w:val="24"/>
          <w:lang w:val="es-ES"/>
        </w:rPr>
        <w:t>Magaly Yajaira Nava Núñez</w:t>
      </w:r>
      <w:r w:rsidRPr="001B0D93">
        <w:rPr>
          <w:rFonts w:ascii="Arial" w:hAnsi="Arial"/>
          <w:b/>
          <w:bCs/>
          <w:sz w:val="24"/>
          <w:szCs w:val="24"/>
          <w:vertAlign w:val="superscript"/>
          <w:lang w:val="es-ES"/>
        </w:rPr>
        <w:t>1</w:t>
      </w:r>
      <w:r w:rsidRPr="001B0D93">
        <w:rPr>
          <w:rFonts w:ascii="Arial" w:hAnsi="Arial"/>
          <w:b/>
          <w:bCs/>
          <w:sz w:val="24"/>
          <w:szCs w:val="24"/>
          <w:lang w:val="es-ES"/>
        </w:rPr>
        <w:t>, Azael Martínez de la Cruz</w:t>
      </w:r>
      <w:r w:rsidRPr="001B0D93">
        <w:rPr>
          <w:rFonts w:ascii="Arial" w:hAnsi="Arial"/>
          <w:b/>
          <w:bCs/>
          <w:sz w:val="24"/>
          <w:szCs w:val="24"/>
          <w:vertAlign w:val="superscript"/>
          <w:lang w:val="es-ES"/>
        </w:rPr>
        <w:t>2</w:t>
      </w:r>
    </w:p>
    <w:p w:rsidR="00023210" w:rsidP="0AB59F2E" w:rsidRDefault="00023210" w14:paraId="62883DB3" w14:textId="77777777">
      <w:pPr>
        <w:jc w:val="center"/>
        <w:rPr>
          <w:rFonts w:ascii="Arial" w:hAnsi="Arial"/>
          <w:b/>
          <w:bCs/>
          <w:sz w:val="22"/>
          <w:szCs w:val="22"/>
          <w:lang w:val="es-ES"/>
        </w:rPr>
      </w:pPr>
    </w:p>
    <w:p w:rsidRPr="004B111E" w:rsidR="00023210" w:rsidP="2AB3C4C2" w:rsidRDefault="001B0D93" w14:paraId="6B3E32FE" w14:textId="479452E4">
      <w:pPr>
        <w:pStyle w:val="Default"/>
        <w:jc w:val="center"/>
        <w:rPr>
          <w:rFonts w:ascii="Arial" w:hAnsi="Arial" w:eastAsia="Arial" w:cs="Arial"/>
          <w:color w:val="auto"/>
        </w:rPr>
      </w:pPr>
      <w:r w:rsidRPr="2AB3C4C2" w:rsidR="2AB3C4C2">
        <w:rPr>
          <w:rFonts w:ascii="Arial" w:hAnsi="Arial" w:eastAsia="Arial" w:cs="Arial"/>
          <w:color w:val="auto"/>
          <w:vertAlign w:val="superscript"/>
        </w:rPr>
        <w:t>1</w:t>
      </w:r>
      <w:r w:rsidRPr="2AB3C4C2" w:rsidR="2AB3C4C2">
        <w:rPr>
          <w:rFonts w:ascii="Arial" w:hAnsi="Arial" w:eastAsia="Arial" w:cs="Arial"/>
          <w:color w:val="auto"/>
        </w:rPr>
        <w:t>Universidad Tecnológica Gral. Mariano Escobedo</w:t>
      </w:r>
    </w:p>
    <w:p w:rsidRPr="004B111E" w:rsidR="00023210" w:rsidP="2AB3C4C2" w:rsidRDefault="001B0D93" w14:paraId="4C372F50" w14:textId="2E4A9751">
      <w:pPr>
        <w:pStyle w:val="Default"/>
        <w:jc w:val="center"/>
        <w:rPr>
          <w:rFonts w:ascii="Arial" w:hAnsi="Arial" w:eastAsia="Arial" w:cs="Arial"/>
          <w:color w:val="auto"/>
        </w:rPr>
      </w:pPr>
      <w:r w:rsidRPr="2AB3C4C2" w:rsidR="2AB3C4C2">
        <w:rPr>
          <w:rFonts w:ascii="Arial" w:hAnsi="Arial" w:eastAsia="Arial" w:cs="Arial"/>
          <w:color w:val="auto"/>
          <w:vertAlign w:val="superscript"/>
        </w:rPr>
        <w:t>2</w:t>
      </w:r>
      <w:r w:rsidRPr="2AB3C4C2" w:rsidR="2AB3C4C2">
        <w:rPr>
          <w:rFonts w:ascii="Arial" w:hAnsi="Arial" w:eastAsia="Arial" w:cs="Arial"/>
          <w:color w:val="auto"/>
        </w:rPr>
        <w:t>Universidad Autónoma de Nuevo León, Facultad de Ingeniería Mecánica y Eléctrica (FIME)</w:t>
      </w:r>
    </w:p>
    <w:p w:rsidR="00023210" w:rsidP="00491CDE" w:rsidRDefault="00023210" w14:paraId="2228D783" w14:textId="77777777">
      <w:pPr>
        <w:jc w:val="center"/>
        <w:rPr>
          <w:rFonts w:ascii="Arial" w:hAnsi="Arial"/>
          <w:i/>
          <w:sz w:val="24"/>
          <w:szCs w:val="24"/>
        </w:rPr>
      </w:pPr>
    </w:p>
    <w:p w:rsidRPr="0022666B" w:rsidR="00491CDE" w:rsidP="00491CDE" w:rsidRDefault="001B0D93" w14:paraId="492095C7" w14:textId="198329A3">
      <w:pPr>
        <w:jc w:val="center"/>
        <w:rPr>
          <w:rFonts w:ascii="Arial" w:hAnsi="Arial"/>
          <w:sz w:val="24"/>
          <w:szCs w:val="24"/>
        </w:rPr>
      </w:pPr>
      <w:r w:rsidRPr="001B0D93">
        <w:rPr>
          <w:rFonts w:ascii="Arial" w:hAnsi="Arial"/>
          <w:i/>
          <w:sz w:val="24"/>
          <w:szCs w:val="24"/>
        </w:rPr>
        <w:t>mnava@ute.edu.mx</w:t>
      </w:r>
    </w:p>
    <w:p w:rsidRPr="0022666B" w:rsidR="00491CDE" w:rsidP="00491CDE" w:rsidRDefault="00491CDE" w14:paraId="021EC20C" w14:textId="77777777">
      <w:pPr>
        <w:jc w:val="both"/>
        <w:rPr>
          <w:rFonts w:ascii="Arial" w:hAnsi="Arial"/>
          <w:sz w:val="24"/>
          <w:szCs w:val="24"/>
        </w:rPr>
      </w:pPr>
    </w:p>
    <w:p w:rsidRPr="00EB1E25" w:rsidR="001B0D93" w:rsidP="001B0D93" w:rsidRDefault="001B0D93" w14:paraId="405974F3" w14:textId="77777777">
      <w:pPr>
        <w:widowControl w:val="0"/>
        <w:adjustRightInd w:val="0"/>
        <w:spacing w:line="360" w:lineRule="auto"/>
        <w:jc w:val="both"/>
        <w:rPr>
          <w:rFonts w:ascii="Arial" w:hAnsi="Arial" w:cs="Arial"/>
          <w:b/>
          <w:bCs/>
          <w:i/>
          <w:iCs/>
          <w:sz w:val="28"/>
          <w:szCs w:val="28"/>
          <w:lang w:val="es-ES" w:eastAsia="es-MX"/>
        </w:rPr>
      </w:pPr>
      <w:r w:rsidRPr="00EB1E25">
        <w:rPr>
          <w:rFonts w:ascii="Arial" w:hAnsi="Arial" w:cs="Arial"/>
          <w:b/>
          <w:bCs/>
          <w:i/>
          <w:iCs/>
          <w:sz w:val="28"/>
          <w:szCs w:val="28"/>
          <w:lang w:val="es-ES" w:eastAsia="es-MX"/>
        </w:rPr>
        <w:t>Resumen</w:t>
      </w:r>
    </w:p>
    <w:p w:rsidRPr="00EB1E25" w:rsidR="001B0D93" w:rsidP="001B0D93" w:rsidRDefault="001B0D93" w14:paraId="678D887A" w14:textId="77777777">
      <w:pPr>
        <w:widowControl w:val="0"/>
        <w:adjustRightInd w:val="0"/>
        <w:spacing w:line="360" w:lineRule="auto"/>
        <w:jc w:val="both"/>
        <w:rPr>
          <w:rFonts w:ascii="Arial" w:hAnsi="Arial" w:cs="Arial"/>
          <w:i/>
          <w:iCs/>
          <w:sz w:val="24"/>
          <w:szCs w:val="24"/>
          <w:lang w:val="es-ES" w:eastAsia="es-MX"/>
        </w:rPr>
      </w:pPr>
      <w:r w:rsidRPr="2AB3C4C2" w:rsidR="2AB3C4C2">
        <w:rPr>
          <w:rFonts w:ascii="Arial" w:hAnsi="Arial" w:cs="Arial"/>
          <w:i w:val="1"/>
          <w:iCs w:val="1"/>
          <w:sz w:val="24"/>
          <w:szCs w:val="24"/>
          <w:lang w:val="es-ES" w:eastAsia="es-MX"/>
        </w:rPr>
        <w:t>El objetivo del presente trabajo de investigación fue preparar muestras de yeso fotocatalítico capaz de eliminar contaminantes atmosféricos tipo óxidos de nitrógeno (NOx) para aplicación en espacios interiores. Las muestras de yeso preparadas con adición de óxido de zinc (ZnO) demostraron una buena eficiencia fotocatalítica siendo la muestra preparada con 3% en peso la que demostró un mayor porcentaje de eliminación con una eficiencia del 25% de conversión de óxido nítrico (NO) bajo iluminación de luz ultravioleta UV-A.</w:t>
      </w:r>
    </w:p>
    <w:p w:rsidRPr="00EB1E25" w:rsidR="001B0D93" w:rsidP="001B0D93" w:rsidRDefault="001B0D93" w14:paraId="756DE6CD" w14:textId="6ECEF489">
      <w:pPr>
        <w:widowControl w:val="0"/>
        <w:adjustRightInd w:val="0"/>
        <w:spacing w:line="360" w:lineRule="auto"/>
        <w:jc w:val="both"/>
        <w:rPr>
          <w:rFonts w:ascii="Arial Black" w:hAnsi="Arial Black" w:cs="Arial"/>
          <w:b/>
          <w:bCs/>
          <w:i/>
          <w:iCs/>
          <w:sz w:val="24"/>
          <w:szCs w:val="24"/>
          <w:lang w:val="en-US" w:eastAsia="es-MX"/>
        </w:rPr>
      </w:pPr>
      <w:r w:rsidRPr="00EB1E25">
        <w:rPr>
          <w:rFonts w:ascii="Arial Black" w:hAnsi="Arial Black" w:cs="Arial"/>
          <w:b/>
          <w:bCs/>
          <w:i/>
          <w:iCs/>
          <w:sz w:val="24"/>
          <w:szCs w:val="24"/>
          <w:lang w:val="en-US" w:eastAsia="es-MX"/>
        </w:rPr>
        <w:t>Yeso, fotocatálisis, NOx, ZnO</w:t>
      </w:r>
    </w:p>
    <w:p w:rsidRPr="001B0D93" w:rsidR="001B0D93" w:rsidP="001B0D93" w:rsidRDefault="001B0D93" w14:paraId="143C3B4A" w14:textId="77777777">
      <w:pPr>
        <w:widowControl w:val="0"/>
        <w:adjustRightInd w:val="0"/>
        <w:spacing w:line="360" w:lineRule="auto"/>
        <w:jc w:val="both"/>
        <w:rPr>
          <w:rFonts w:ascii="Arial" w:hAnsi="Arial" w:cs="Arial"/>
          <w:sz w:val="24"/>
          <w:szCs w:val="24"/>
          <w:lang w:val="en-US" w:eastAsia="es-MX"/>
        </w:rPr>
      </w:pPr>
    </w:p>
    <w:p w:rsidRPr="00EB1E25" w:rsidR="001B0D93" w:rsidP="001B0D93" w:rsidRDefault="001B0D93" w14:paraId="5B9CC432" w14:textId="77777777">
      <w:pPr>
        <w:widowControl w:val="0"/>
        <w:adjustRightInd w:val="0"/>
        <w:spacing w:line="360" w:lineRule="auto"/>
        <w:jc w:val="both"/>
        <w:rPr>
          <w:rFonts w:ascii="Arial Black" w:hAnsi="Arial Black" w:cs="Arial"/>
          <w:b/>
          <w:bCs/>
          <w:sz w:val="28"/>
          <w:szCs w:val="28"/>
          <w:lang w:val="en-US" w:eastAsia="es-MX"/>
        </w:rPr>
      </w:pPr>
      <w:r w:rsidRPr="00EB1E25">
        <w:rPr>
          <w:rFonts w:ascii="Arial Black" w:hAnsi="Arial Black" w:cs="Arial"/>
          <w:b/>
          <w:bCs/>
          <w:sz w:val="28"/>
          <w:szCs w:val="28"/>
          <w:lang w:val="en-US" w:eastAsia="es-MX"/>
        </w:rPr>
        <w:t xml:space="preserve">Abstract </w:t>
      </w:r>
    </w:p>
    <w:p w:rsidRPr="00053593" w:rsidR="001B0D93" w:rsidP="2AB3C4C2" w:rsidRDefault="001B0D93" w14:paraId="28A8BF96" w14:textId="0BC3B5D6">
      <w:pPr>
        <w:widowControl w:val="0"/>
        <w:adjustRightInd w:val="0"/>
        <w:spacing w:line="360" w:lineRule="auto"/>
        <w:jc w:val="both"/>
        <w:rPr>
          <w:rFonts w:ascii="Arial Black" w:hAnsi="Arial Black" w:cs="Arial"/>
          <w:i w:val="1"/>
          <w:iCs w:val="1"/>
          <w:sz w:val="24"/>
          <w:szCs w:val="24"/>
          <w:lang w:val="es-ES" w:eastAsia="es-MX"/>
        </w:rPr>
      </w:pPr>
      <w:r w:rsidRPr="2AB3C4C2" w:rsidR="2AB3C4C2">
        <w:rPr>
          <w:rFonts w:ascii="Arial" w:hAnsi="Arial" w:cs="Arial"/>
          <w:i w:val="1"/>
          <w:iCs w:val="1"/>
          <w:sz w:val="24"/>
          <w:szCs w:val="24"/>
          <w:lang w:val="en-US" w:eastAsia="es-MX"/>
        </w:rPr>
        <w:t xml:space="preserve">The </w:t>
      </w:r>
      <w:r w:rsidRPr="2AB3C4C2" w:rsidR="2AB3C4C2">
        <w:rPr>
          <w:rFonts w:ascii="Arial" w:hAnsi="Arial" w:cs="Arial"/>
          <w:i w:val="1"/>
          <w:iCs w:val="1"/>
          <w:sz w:val="24"/>
          <w:szCs w:val="24"/>
          <w:lang w:val="en-US" w:eastAsia="es-MX"/>
        </w:rPr>
        <w:t>objective</w:t>
      </w:r>
      <w:r w:rsidRPr="2AB3C4C2" w:rsidR="2AB3C4C2">
        <w:rPr>
          <w:rFonts w:ascii="Arial" w:hAnsi="Arial" w:cs="Arial"/>
          <w:i w:val="1"/>
          <w:iCs w:val="1"/>
          <w:sz w:val="24"/>
          <w:szCs w:val="24"/>
          <w:lang w:val="en-US" w:eastAsia="es-MX"/>
        </w:rPr>
        <w:t xml:space="preserve"> of this research work was to prepare samples of photocatalytic gypsum capable of </w:t>
      </w:r>
      <w:r w:rsidRPr="2AB3C4C2" w:rsidR="2AB3C4C2">
        <w:rPr>
          <w:rFonts w:ascii="Arial" w:hAnsi="Arial" w:cs="Arial"/>
          <w:i w:val="1"/>
          <w:iCs w:val="1"/>
          <w:sz w:val="24"/>
          <w:szCs w:val="24"/>
          <w:lang w:val="en-US" w:eastAsia="es-MX"/>
        </w:rPr>
        <w:t>eliminating</w:t>
      </w:r>
      <w:r w:rsidRPr="2AB3C4C2" w:rsidR="2AB3C4C2">
        <w:rPr>
          <w:rFonts w:ascii="Arial" w:hAnsi="Arial" w:cs="Arial"/>
          <w:i w:val="1"/>
          <w:iCs w:val="1"/>
          <w:sz w:val="24"/>
          <w:szCs w:val="24"/>
          <w:lang w:val="en-US" w:eastAsia="es-MX"/>
        </w:rPr>
        <w:t xml:space="preserve"> atmospheric pollutants such as nitrogen oxides (NOx) for application in indoor spaces. The gypsum samples prepared with the addition of zinc oxide (</w:t>
      </w:r>
      <w:r w:rsidRPr="2AB3C4C2" w:rsidR="2AB3C4C2">
        <w:rPr>
          <w:rFonts w:ascii="Arial" w:hAnsi="Arial" w:cs="Arial"/>
          <w:i w:val="1"/>
          <w:iCs w:val="1"/>
          <w:sz w:val="24"/>
          <w:szCs w:val="24"/>
          <w:lang w:val="en-US" w:eastAsia="es-MX"/>
        </w:rPr>
        <w:t>ZnO</w:t>
      </w:r>
      <w:r w:rsidRPr="2AB3C4C2" w:rsidR="2AB3C4C2">
        <w:rPr>
          <w:rFonts w:ascii="Arial" w:hAnsi="Arial" w:cs="Arial"/>
          <w:i w:val="1"/>
          <w:iCs w:val="1"/>
          <w:sz w:val="24"/>
          <w:szCs w:val="24"/>
          <w:lang w:val="en-US" w:eastAsia="es-MX"/>
        </w:rPr>
        <w:t xml:space="preserve">) </w:t>
      </w:r>
      <w:r w:rsidRPr="2AB3C4C2" w:rsidR="2AB3C4C2">
        <w:rPr>
          <w:rFonts w:ascii="Arial" w:hAnsi="Arial" w:cs="Arial"/>
          <w:i w:val="1"/>
          <w:iCs w:val="1"/>
          <w:sz w:val="24"/>
          <w:szCs w:val="24"/>
          <w:lang w:val="en-US" w:eastAsia="es-MX"/>
        </w:rPr>
        <w:t>demonstrated</w:t>
      </w:r>
      <w:r w:rsidRPr="2AB3C4C2" w:rsidR="2AB3C4C2">
        <w:rPr>
          <w:rFonts w:ascii="Arial" w:hAnsi="Arial" w:cs="Arial"/>
          <w:i w:val="1"/>
          <w:iCs w:val="1"/>
          <w:sz w:val="24"/>
          <w:szCs w:val="24"/>
          <w:lang w:val="en-US" w:eastAsia="es-MX"/>
        </w:rPr>
        <w:t xml:space="preserve"> good photocatalytic efficiency with the sample prepared with 3% by weight </w:t>
      </w:r>
      <w:r w:rsidRPr="2AB3C4C2" w:rsidR="2AB3C4C2">
        <w:rPr>
          <w:rFonts w:ascii="Arial" w:hAnsi="Arial" w:cs="Arial"/>
          <w:i w:val="1"/>
          <w:iCs w:val="1"/>
          <w:sz w:val="24"/>
          <w:szCs w:val="24"/>
          <w:lang w:val="en-US" w:eastAsia="es-MX"/>
        </w:rPr>
        <w:t>demonstrating</w:t>
      </w:r>
      <w:r w:rsidRPr="2AB3C4C2" w:rsidR="2AB3C4C2">
        <w:rPr>
          <w:rFonts w:ascii="Arial" w:hAnsi="Arial" w:cs="Arial"/>
          <w:i w:val="1"/>
          <w:iCs w:val="1"/>
          <w:sz w:val="24"/>
          <w:szCs w:val="24"/>
          <w:lang w:val="en-US" w:eastAsia="es-MX"/>
        </w:rPr>
        <w:t xml:space="preserve"> a higher percentage of removal with an efficiency of 25% nitric oxide (NO) conversion under UV-A ultraviolet light illumination.</w:t>
      </w:r>
    </w:p>
    <w:p w:rsidRPr="00053593" w:rsidR="001B0D93" w:rsidP="2AB3C4C2" w:rsidRDefault="001B0D93" w14:paraId="11F77071" w14:textId="48638A5B">
      <w:pPr>
        <w:widowControl w:val="0"/>
        <w:adjustRightInd w:val="0"/>
        <w:spacing w:line="360" w:lineRule="auto"/>
        <w:jc w:val="both"/>
        <w:rPr>
          <w:rFonts w:ascii="Arial Black" w:hAnsi="Arial Black" w:cs="Arial"/>
          <w:i w:val="1"/>
          <w:iCs w:val="1"/>
          <w:sz w:val="24"/>
          <w:szCs w:val="24"/>
          <w:lang w:val="es-ES" w:eastAsia="es-MX"/>
        </w:rPr>
      </w:pPr>
      <w:r w:rsidRPr="2AB3C4C2" w:rsidR="2AB3C4C2">
        <w:rPr>
          <w:rFonts w:ascii="Arial Black" w:hAnsi="Arial Black" w:cs="Arial"/>
          <w:i w:val="1"/>
          <w:iCs w:val="1"/>
          <w:sz w:val="24"/>
          <w:szCs w:val="24"/>
          <w:lang w:val="es-ES" w:eastAsia="es-MX"/>
        </w:rPr>
        <w:t>Gypsum</w:t>
      </w:r>
      <w:r w:rsidRPr="2AB3C4C2" w:rsidR="2AB3C4C2">
        <w:rPr>
          <w:rFonts w:ascii="Arial Black" w:hAnsi="Arial Black" w:cs="Arial"/>
          <w:i w:val="1"/>
          <w:iCs w:val="1"/>
          <w:sz w:val="24"/>
          <w:szCs w:val="24"/>
          <w:lang w:val="es-ES" w:eastAsia="es-MX"/>
        </w:rPr>
        <w:t xml:space="preserve">, </w:t>
      </w:r>
      <w:r w:rsidRPr="2AB3C4C2" w:rsidR="2AB3C4C2">
        <w:rPr>
          <w:rFonts w:ascii="Arial Black" w:hAnsi="Arial Black" w:cs="Arial"/>
          <w:i w:val="1"/>
          <w:iCs w:val="1"/>
          <w:sz w:val="24"/>
          <w:szCs w:val="24"/>
          <w:lang w:val="es-ES" w:eastAsia="es-MX"/>
        </w:rPr>
        <w:t>photocatalysis</w:t>
      </w:r>
      <w:r w:rsidRPr="2AB3C4C2" w:rsidR="2AB3C4C2">
        <w:rPr>
          <w:rFonts w:ascii="Arial Black" w:hAnsi="Arial Black" w:cs="Arial"/>
          <w:i w:val="1"/>
          <w:iCs w:val="1"/>
          <w:sz w:val="24"/>
          <w:szCs w:val="24"/>
          <w:lang w:val="es-ES" w:eastAsia="es-MX"/>
        </w:rPr>
        <w:t xml:space="preserve">, </w:t>
      </w:r>
      <w:r w:rsidRPr="2AB3C4C2" w:rsidR="2AB3C4C2">
        <w:rPr>
          <w:rFonts w:ascii="Arial Black" w:hAnsi="Arial Black" w:cs="Arial"/>
          <w:i w:val="1"/>
          <w:iCs w:val="1"/>
          <w:sz w:val="24"/>
          <w:szCs w:val="24"/>
          <w:lang w:val="es-ES" w:eastAsia="es-MX"/>
        </w:rPr>
        <w:t>NOx</w:t>
      </w:r>
      <w:r w:rsidRPr="2AB3C4C2" w:rsidR="2AB3C4C2">
        <w:rPr>
          <w:rFonts w:ascii="Arial Black" w:hAnsi="Arial Black" w:cs="Arial"/>
          <w:i w:val="1"/>
          <w:iCs w:val="1"/>
          <w:sz w:val="24"/>
          <w:szCs w:val="24"/>
          <w:lang w:val="es-ES" w:eastAsia="es-MX"/>
        </w:rPr>
        <w:t xml:space="preserve">, </w:t>
      </w:r>
      <w:r w:rsidRPr="2AB3C4C2" w:rsidR="2AB3C4C2">
        <w:rPr>
          <w:rFonts w:ascii="Arial Black" w:hAnsi="Arial Black" w:cs="Arial"/>
          <w:i w:val="1"/>
          <w:iCs w:val="1"/>
          <w:sz w:val="24"/>
          <w:szCs w:val="24"/>
          <w:lang w:val="es-ES" w:eastAsia="es-MX"/>
        </w:rPr>
        <w:t>ZnO</w:t>
      </w:r>
    </w:p>
    <w:p w:rsidR="000278DF" w:rsidP="001B0D93" w:rsidRDefault="000278DF" w14:paraId="6CB25800" w14:textId="77777777">
      <w:pPr>
        <w:widowControl w:val="0"/>
        <w:adjustRightInd w:val="0"/>
        <w:spacing w:line="360" w:lineRule="auto"/>
        <w:jc w:val="both"/>
        <w:rPr>
          <w:rFonts w:ascii="Arial" w:hAnsi="Arial"/>
          <w:sz w:val="24"/>
          <w:szCs w:val="24"/>
          <w:lang w:val="en-US"/>
        </w:rPr>
      </w:pPr>
    </w:p>
    <w:p w:rsidR="00C022D7" w:rsidP="00C022D7" w:rsidRDefault="00C022D7" w14:paraId="1D819A4C" w14:textId="5869C2EA">
      <w:pPr>
        <w:spacing w:line="360" w:lineRule="auto"/>
        <w:jc w:val="both"/>
        <w:rPr>
          <w:rFonts w:ascii="Arial" w:hAnsi="Arial" w:cs="Arial"/>
          <w:b/>
          <w:sz w:val="24"/>
          <w:szCs w:val="24"/>
          <w:lang w:val="es-ES"/>
        </w:rPr>
        <w:sectPr w:rsidR="00C022D7" w:rsidSect="009D1E27">
          <w:footerReference w:type="default" r:id="rId8"/>
          <w:type w:val="continuous"/>
          <w:pgSz w:w="12240" w:h="15840" w:orient="portrait" w:code="1"/>
          <w:pgMar w:top="1417" w:right="1701" w:bottom="1417" w:left="1701" w:header="576" w:footer="720" w:gutter="0"/>
          <w:cols w:space="720"/>
          <w:docGrid w:linePitch="272"/>
        </w:sectPr>
      </w:pPr>
    </w:p>
    <w:p w:rsidRPr="00EB1E25" w:rsidR="00C022D7" w:rsidP="00C022D7" w:rsidRDefault="00EB1E25" w14:paraId="4A433336" w14:textId="7D384E0E">
      <w:pPr>
        <w:spacing w:line="360" w:lineRule="auto"/>
        <w:jc w:val="both"/>
        <w:rPr>
          <w:rFonts w:ascii="Arial Black" w:hAnsi="Arial Black" w:cs="Arial"/>
          <w:b/>
          <w:sz w:val="28"/>
          <w:szCs w:val="28"/>
          <w:lang w:val="es-ES"/>
        </w:rPr>
      </w:pPr>
      <w:r w:rsidRPr="00EB1E25">
        <w:rPr>
          <w:rFonts w:ascii="Arial Black" w:hAnsi="Arial Black" w:cs="Arial"/>
          <w:b/>
          <w:sz w:val="28"/>
          <w:szCs w:val="28"/>
          <w:lang w:val="es-ES"/>
        </w:rPr>
        <w:t>1. INTRODUCCIÓN</w:t>
      </w:r>
    </w:p>
    <w:p w:rsidRPr="00C022D7" w:rsidR="00C022D7" w:rsidP="2AB3C4C2" w:rsidRDefault="00C022D7" w14:paraId="047442FE" w14:textId="77777777">
      <w:pPr>
        <w:spacing w:line="360" w:lineRule="auto"/>
        <w:jc w:val="both"/>
        <w:rPr>
          <w:rFonts w:ascii="Arial" w:hAnsi="Arial" w:cs="Arial"/>
          <w:sz w:val="24"/>
          <w:szCs w:val="24"/>
          <w:lang w:val="es-ES"/>
        </w:rPr>
      </w:pPr>
      <w:r w:rsidRPr="2AB3C4C2" w:rsidR="2AB3C4C2">
        <w:rPr>
          <w:rFonts w:ascii="Arial" w:hAnsi="Arial" w:cs="Arial"/>
          <w:sz w:val="24"/>
          <w:szCs w:val="24"/>
          <w:lang w:val="es-ES"/>
        </w:rPr>
        <w:t xml:space="preserve">La contaminación en las grandes ciudades es un grave problema medioambiental que provoca el efecto invernadero, el calentamiento global y muchas enfermedades que afectan a la población que vive en los países desarrollados. En particular, la contaminación del aire provoca millones de muertes prematuras en todo el mundo </w:t>
      </w:r>
      <w:r w:rsidRPr="2AB3C4C2">
        <w:rPr>
          <w:rFonts w:ascii="Arial" w:hAnsi="Arial" w:cs="Arial"/>
          <w:sz w:val="24"/>
          <w:szCs w:val="24"/>
        </w:rPr>
        <w:fldChar w:fldCharType="begin" w:fldLock="true"/>
      </w:r>
      <w:r w:rsidRPr="2AB3C4C2">
        <w:rPr>
          <w:rFonts w:ascii="Arial" w:hAnsi="Arial" w:cs="Arial"/>
          <w:sz w:val="24"/>
          <w:szCs w:val="24"/>
        </w:rPr>
        <w:instrText xml:space="preserve">ADDIN CSL_CITATION {"citationItems":[{"id":"ITEM-1","itemData":{"DOI":"10.1016/S2468-2667(23)00106-8","ISSN":"24682667","PMID":"37393093","abstract":"Background: Ambient air pollution is a major risk to health and wellbeing in European cities. We aimed to estimate spatial and sector-specific contributions of emissions to ambient air pollution and evaluate the effects of source-specific reductions in pollutants on mortality in European cities to support targeted source-specific actions to address air pollution and promote population health. Methods: We conducted a health impact assessment of data from 2015 for 857 European cities to estimate source contributions to annual PM2·5 and NO2 concentrations using the Screening for High Emission Reduction Potentials for Air quality tool. We evaluated contributions from transport, industry, energy, residential, agriculture, shipping, and aviation, other, natural, and external sources. For each city and sector, three spatial levels were considered: contributions from the same city, the rest of the country, and transboundary. Mortality effects were estimated for adult populations (ie, ≥20 years) following standard comparative risk assessment methods to calculate the annual mortality preventable on spatial and sector-specific reductions in PM2·5 and NO2. Findings: We observed strong variability in spatial and sectoral contributions among European cities. For PM2·5, the main contributors to mortality were the residential (mean contribution of 22·7% [SD 10·2]) and agricultural (18·0% [7·7]) sectors, followed by industry (13·8% [6·0]), transport (13·5% [5·8]), energy (10·0% [6·4]), and shipping (5·5% [5·7]). For NO2, the main contributor to mortality was transport (48·5% [SD 15·2]), with additional contributions from industry (15·0% [10·8]), energy (14·7% [12·9]), residential (10·3% [5·0]), and shipping (9·7% [12·7]). The mean city contribution to its own air pollution mortality was 13·5% (SD 9·9) for PM2·5 and 34·4% (19·6) for NO2, and contribution increased among cities of largest area (22·3% [12·2] for PM2·5 and 52·2% [19·4] for NO2) and among European capitals (29·9% [12·5] for PM2·5 and 62·7% [14·7] for NO2). Interpretation: We estimated source-specific air pollution health effects at the city level. Our results show strong variability, emphasising the need for local policies and coordinated actions that consider city-level specificities in source contributions. Funding: Spanish Ministry of Science and Innovation, State Research Agency, Generalitat de Catalunya, Centro de Investigación Biomédica en red Epidemiología y Salud Pública, and Urban Burden of Disease …","author":[{"dropping-particle":"","family":"Khomenko","given":"Sasha","non-dropping-particle":"","parse-names":false,"suffix":""},{"dropping-particle":"","family":"Pisoni","given":"Enrico","non-dropping-particle":"","parse-names":false,"suffix":""},{"dropping-particle":"","family":"Thunis","given":"Philippe","non-dropping-particle":"","parse-names":false,"suffix":""},{"dropping-particle":"","family":"Bessagnet","given":"Bertrand","non-dropping-particle":"","parse-names":false,"suffix":""},{"dropping-particle":"","family":"Cirach","given":"Marta","non-dropping-particle":"","parse-names":false,"suffix":""},{"dropping-particle":"","family":"Iungman","given":"Tamara","non-dropping-particle":"","parse-names":false,"suffix":""},{"dropping-particle":"","family":"Barboza","given":"Evelise Pereira","non-dropping-particle":"","parse-names":false,"suffix":""},{"dropping-particle":"","family":"Khreis","given":"Haneen","non-dropping-particle":"","parse-names":false,"suffix":""},{"dropping-particle":"","family":"Mueller","given":"Natalie","non-dropping-particle":"","parse-names":false,"suffix":""},{"dropping-particle":"","family":"Tonne","given":"Cathryn","non-dropping-particle":"","parse-names":false,"suffix":""},{"dropping-particle":"","family":"Hoogh","given":"Kees","non-dropping-particle":"de","parse-names":false,"suffix":""},{"dropping-particle":"","family":"Hoek","given":"Gerard","non-dropping-particle":"","parse-names":false,"suffix":""},{"dropping-particle":"","family":"Chowdhury","given":"Sourangsu","non-dropping-particle":"","parse-names":false,"suffix":""},{"dropping-particle":"","family":"Lelieveld","given":"Jos","non-dropping-particle":"","parse-names":false,"suffix":""},{"dropping-particle":"","family":"Nieuwenhuijsen","given":"Mark","non-dropping-particle":"","parse-names":false,"suffix":""}],"container-title":"The Lancet Public Health","id":"ITEM-1","issue":"7","issued":{"date-parts":[["2023"]]},"page":"e546-e558","publisher":"The Author(s). Published by Elsevier Ltd. This is an Open Access article under the CC BY-NC-ND 4.0 license","title":"Spatial and sector-specific contributions of emissions to ambient air pollution and mortality in European cities: a health impact assessment","type":"article-journal","volume":"8"},"uris":["http://www.mendeley.com/documents/?uuid=35a475f6-44d1-4f67-a228-f0c1231849a5"]}],"mendeley":{"formattedCitation":"[1]","plainTextFormattedCitation":"[1]","previouslyFormattedCitation":"(Khomenko et al., 2023)"},"properties":{"noteIndex":0},"schema":"https://github.com/citation-style-language/schema/raw/master/csl-citation.json"}</w:instrText>
      </w:r>
      <w:r w:rsidRPr="2AB3C4C2">
        <w:rPr>
          <w:rFonts w:ascii="Arial" w:hAnsi="Arial" w:cs="Arial"/>
          <w:sz w:val="24"/>
          <w:szCs w:val="24"/>
        </w:rPr>
        <w:fldChar w:fldCharType="separate"/>
      </w:r>
      <w:r w:rsidRPr="2AB3C4C2" w:rsidR="2AB3C4C2">
        <w:rPr>
          <w:rFonts w:ascii="Arial" w:hAnsi="Arial" w:cs="Arial"/>
          <w:noProof/>
          <w:sz w:val="24"/>
          <w:szCs w:val="24"/>
          <w:lang w:val="es-ES"/>
        </w:rPr>
        <w:t>[1]</w:t>
      </w:r>
      <w:r w:rsidRPr="2AB3C4C2">
        <w:rPr>
          <w:rFonts w:ascii="Arial" w:hAnsi="Arial" w:cs="Arial"/>
          <w:sz w:val="24"/>
          <w:szCs w:val="24"/>
        </w:rPr>
        <w:fldChar w:fldCharType="end"/>
      </w:r>
      <w:r w:rsidRPr="2AB3C4C2" w:rsidR="2AB3C4C2">
        <w:rPr>
          <w:rFonts w:ascii="Arial" w:hAnsi="Arial" w:cs="Arial"/>
          <w:sz w:val="24"/>
          <w:szCs w:val="24"/>
          <w:lang w:val="es-ES"/>
        </w:rPr>
        <w:t xml:space="preserve">. </w:t>
      </w:r>
      <w:r w:rsidRPr="2AB3C4C2" w:rsidR="2AB3C4C2">
        <w:rPr>
          <w:rFonts w:ascii="Arial" w:hAnsi="Arial" w:cs="Arial"/>
          <w:sz w:val="24"/>
          <w:szCs w:val="24"/>
          <w:lang w:val="es-ES"/>
        </w:rPr>
        <w:t>La exposición a los contaminantes del aire se ha estudiado ampliamente, sin embargo, investigaciones recientes han demostrado que el aire contaminado no solo se encuentra en la atmósfera exterior sino también en el interior de los edificios.</w:t>
      </w:r>
      <w:r w:rsidRPr="2AB3C4C2" w:rsidR="2AB3C4C2">
        <w:rPr>
          <w:rFonts w:ascii="Arial" w:hAnsi="Arial" w:cs="Arial"/>
          <w:sz w:val="24"/>
          <w:szCs w:val="24"/>
          <w:lang w:val="es-ES"/>
        </w:rPr>
        <w:t xml:space="preserve"> La concentración de contaminación en algunos edificios en ocasiones es mucho mayor en el interior que en el exterior </w:t>
      </w:r>
      <w:r w:rsidRPr="2AB3C4C2">
        <w:rPr>
          <w:rFonts w:ascii="Arial" w:hAnsi="Arial" w:cs="Arial"/>
          <w:sz w:val="24"/>
          <w:szCs w:val="24"/>
        </w:rPr>
        <w:fldChar w:fldCharType="begin" w:fldLock="true"/>
      </w:r>
      <w:r w:rsidRPr="2AB3C4C2">
        <w:rPr>
          <w:rFonts w:ascii="Arial" w:hAnsi="Arial" w:cs="Arial"/>
          <w:sz w:val="24"/>
          <w:szCs w:val="24"/>
        </w:rPr>
        <w:instrText xml:space="preserve">ADDIN CSL_CITATION {"citationItems":[{"id":"ITEM-1","itemData":{"DOI":"10.1021/acs.iecr.6b02514","ISSN":"15205045","abstract":"Understanding the photocatalytic conversion mechanism of NO is crucial to develop an effective and practical strategy for indoor air pollution control. In this study, we systematically investigated the photocatalytic removal mechanism of NO over nanocrystalline Bi2Sn2O7, which was successfully synthesized via hydrothermal method using bismuth citrate and stannic chloride pentahydrate as precursors for the first time. Various characterizations were carried out to study the physicochemical properties of the as-prepared samples. The performance of the as-prepared Bi2Sn2O7 samples was evaluated by the photocatalytic degradation of NO in a continuous reactor under simulated solar light irradiation. The NO removal rate over the Bi2Sn2O7 sample synthesized for 12 h (BSO-12) was 37%, which was much higher than those of Bi2Sn2O7 samples synthesized for 24 h (BSO-24) and 36 h (BSO-36). Results from photocurrent tests and electrochemical impedance spectroscopy (EIS) demonstrated that the BSO-12 sample presents much more effective interface charge separation efficiency, which can contribute to its improved photocatalytic performance. Reactive radicals during the photocatalysis processes were identified via trapping experiments, which were also confirmed by electron spin resonance (ESR) study. Combined with the quantification of reaction intermediates, the photocatalytic removal mechanism of NO over nanocrystalline Bi2Sn2O7 was proposed for the first time.","author":[{"dropping-particle":"","family":"Lu","given":"Yanfeng","non-dropping-particle":"","parse-names":false,"suffix":""},{"dropping-particle":"","family":"Huang","given":"Yu","non-dropping-particle":"","parse-names":false,"suffix":""},{"dropping-particle":"","family":"Cao","given":"Jun Ji","non-dropping-particle":"","parse-names":false,"suffix":""},{"dropping-particle":"","family":"Ho","given":"Wingkei","non-dropping-particle":"","parse-names":false,"suffix":""},{"dropping-particle":"","family":"Zhang","given":"Qian","non-dropping-particle":"","parse-names":false,"suffix":""},{"dropping-particle":"","family":"Zhu","given":"Dandan","non-dropping-particle":"","parse-names":false,"suffix":""},{"dropping-particle":"","family":"Lee","given":"Shun Cheng","non-dropping-particle":"","parse-names":false,"suffix":""}],"container-title":"Industrial and Engineering Chemistry Research","id":"ITEM-1","issue":"40","issued":{"date-parts":[["2016"]]},"page":"10609-10617","title":"Insight into the Photocatalytic Removal of NO in Air over Nanocrystalline Bi2Sn2O7 under Simulated Solar Light","type":"article-journal","volume":"55"},"uris":["http://www.mendeley.com/documents/?uuid=6c8b9472-0370-4553-bc4d-6df7abfe26b5"]}],"mendeley":{"formattedCitation":"[2]","plainTextFormattedCitation":"[2]","previouslyFormattedCitation":"(Lu et al., 2016)"},"properties":{"noteIndex":0},"schema":"https://github.com/citation-style-language/schema/raw/master/csl-citation.json"}</w:instrText>
      </w:r>
      <w:r w:rsidRPr="2AB3C4C2">
        <w:rPr>
          <w:rFonts w:ascii="Arial" w:hAnsi="Arial" w:cs="Arial"/>
          <w:sz w:val="24"/>
          <w:szCs w:val="24"/>
        </w:rPr>
        <w:fldChar w:fldCharType="separate"/>
      </w:r>
      <w:r w:rsidRPr="2AB3C4C2" w:rsidR="2AB3C4C2">
        <w:rPr>
          <w:rFonts w:ascii="Arial" w:hAnsi="Arial" w:cs="Arial"/>
          <w:noProof/>
          <w:sz w:val="24"/>
          <w:szCs w:val="24"/>
          <w:lang w:val="es-ES"/>
        </w:rPr>
        <w:t>[2]</w:t>
      </w:r>
      <w:r w:rsidRPr="2AB3C4C2">
        <w:rPr>
          <w:rFonts w:ascii="Arial" w:hAnsi="Arial" w:cs="Arial"/>
          <w:sz w:val="24"/>
          <w:szCs w:val="24"/>
        </w:rPr>
        <w:fldChar w:fldCharType="end"/>
      </w:r>
      <w:r w:rsidRPr="2AB3C4C2" w:rsidR="2AB3C4C2">
        <w:rPr>
          <w:rFonts w:ascii="Arial" w:hAnsi="Arial" w:cs="Arial"/>
          <w:sz w:val="24"/>
          <w:szCs w:val="24"/>
          <w:lang w:val="es-ES"/>
        </w:rPr>
        <w:t xml:space="preserve">. Las principales fuentes de contaminación del aire interior son la ventilación inadecuada principalmente en zonas industriales y altamente urbanizadas; otras fuentes incluyen los gases de la cocina y la calefacción. Algunos otros factores que pueden influir en el aire interior contaminado son el diseño </w:t>
      </w:r>
      <w:r w:rsidRPr="2AB3C4C2" w:rsidR="2AB3C4C2">
        <w:rPr>
          <w:rFonts w:ascii="Arial" w:hAnsi="Arial" w:cs="Arial"/>
          <w:sz w:val="24"/>
          <w:szCs w:val="24"/>
          <w:lang w:val="es-ES"/>
        </w:rPr>
        <w:t xml:space="preserve">arquitectónico, las fuentes de contaminación exterior, el aire acondicionado y la gran cantidad de toxinas liberadas por los materiales de construcción. </w:t>
      </w:r>
    </w:p>
    <w:p w:rsidRPr="00C022D7" w:rsidR="00C022D7" w:rsidP="00C022D7" w:rsidRDefault="00C022D7" w14:paraId="7B3ABBF3" w14:textId="77777777">
      <w:pPr>
        <w:spacing w:line="360" w:lineRule="auto"/>
        <w:jc w:val="both"/>
        <w:rPr>
          <w:rFonts w:ascii="Arial" w:hAnsi="Arial" w:cs="Arial"/>
          <w:sz w:val="24"/>
          <w:szCs w:val="24"/>
        </w:rPr>
      </w:pPr>
    </w:p>
    <w:p w:rsidRPr="00C022D7" w:rsidR="00C022D7" w:rsidP="2AB3C4C2" w:rsidRDefault="00C022D7" w14:paraId="17494387" w14:textId="77777777">
      <w:pPr>
        <w:spacing w:line="360" w:lineRule="auto"/>
        <w:jc w:val="both"/>
        <w:rPr>
          <w:rFonts w:ascii="Arial" w:hAnsi="Arial" w:cs="Arial"/>
          <w:sz w:val="24"/>
          <w:szCs w:val="24"/>
          <w:lang w:val="es-ES"/>
        </w:rPr>
      </w:pPr>
      <w:r w:rsidRPr="2AB3C4C2" w:rsidR="2AB3C4C2">
        <w:rPr>
          <w:rFonts w:ascii="Arial" w:hAnsi="Arial" w:cs="Arial"/>
          <w:sz w:val="24"/>
          <w:szCs w:val="24"/>
          <w:lang w:val="es-ES"/>
        </w:rPr>
        <w:t xml:space="preserve">En particular, las personas pasan en promedio entre el 80 y el 90% de su tiempo diario en ambientes interiores, por esa razón es importante eliminar estos contaminantes del aire </w:t>
      </w:r>
      <w:r w:rsidRPr="2AB3C4C2">
        <w:rPr>
          <w:rFonts w:ascii="Arial" w:hAnsi="Arial" w:cs="Arial"/>
          <w:sz w:val="24"/>
          <w:szCs w:val="24"/>
        </w:rPr>
        <w:fldChar w:fldCharType="begin" w:fldLock="true"/>
      </w:r>
      <w:r w:rsidRPr="2AB3C4C2">
        <w:rPr>
          <w:rFonts w:ascii="Arial" w:hAnsi="Arial" w:cs="Arial"/>
          <w:sz w:val="24"/>
          <w:szCs w:val="24"/>
        </w:rPr>
        <w:instrText xml:space="preserve">ADDIN CSL_CITATION {"citationItems":[{"id":"ITEM-1","itemData":{"abstract":"16 Indoor air pollution has traditionally received less attention than outdoors pollution despite 17 indoors pollutant levels are typically twice higher, and people spend 80-90 % of their life in 18 increasing airtight buildings. More than 5 million people die every year prematurely from 19 illnesses attributable to poor indoor air quality, which also causes multi-millionaire losses due 20 to reduced employee's productivity, material damages and increased health system expenses. 21 Indoor air pollutants include particulate matter, biological pollutants and over 400 different 22 chemical organic and inorganic compounds, whose concentrations are governed by several 23 outdoor and indoor factors. Prevention of pollutant is not always technically feasible, so the 24 implementation of cost-effective active abatement units is required. Up to date no single 25 physical-chemical technology is capable of coping with all indoor air pollutants in a cost-26","author":[{"dropping-particle":"","family":"González-Martín","given":"Javier","non-dropping-particle":"","parse-names":false,"suffix":""},{"dropping-particle":"","family":"Kraakman","given":"Norbertus","non-dropping-particle":"","parse-names":false,"suffix":""},{"dropping-particle":"","family":"Pérez","given":"Cristina","non-dropping-particle":"","parse-names":false,"suffix":""},{"dropping-particle":"","family":"Lebrero","given":"Raquel","non-dropping-particle":"","parse-names":false,"suffix":""}],"id":"ITEM-1","issued":{"date-parts":[["2021"]]},"page":"1-59","title":"a State-of-the-Art Review on Indoor Air Pollution and the Potential of Biotechnologies for Indoor Air Purification 2","type":"article-journal"},"uris":["http://www.mendeley.com/documents/?uuid=28abaef8-008a-4fd9-9bcc-1255adf64229"]}],"mendeley":{"formattedCitation":"[3]","plainTextFormattedCitation":"[3]","previouslyFormattedCitation":"(González-Martín, Kraakman, Pérez, &amp; Lebrero, 2021)"},"properties":{"noteIndex":0},"schema":"https://github.com/citation-style-language/schema/raw/master/csl-citation.json"}</w:instrText>
      </w:r>
      <w:r w:rsidRPr="2AB3C4C2">
        <w:rPr>
          <w:rFonts w:ascii="Arial" w:hAnsi="Arial" w:cs="Arial"/>
          <w:sz w:val="24"/>
          <w:szCs w:val="24"/>
        </w:rPr>
        <w:fldChar w:fldCharType="separate"/>
      </w:r>
      <w:r w:rsidRPr="2AB3C4C2" w:rsidR="2AB3C4C2">
        <w:rPr>
          <w:rFonts w:ascii="Arial" w:hAnsi="Arial" w:cs="Arial"/>
          <w:noProof/>
          <w:sz w:val="24"/>
          <w:szCs w:val="24"/>
          <w:lang w:val="es-ES"/>
        </w:rPr>
        <w:t>[3]</w:t>
      </w:r>
      <w:r w:rsidRPr="2AB3C4C2">
        <w:rPr>
          <w:rFonts w:ascii="Arial" w:hAnsi="Arial" w:cs="Arial"/>
          <w:sz w:val="24"/>
          <w:szCs w:val="24"/>
        </w:rPr>
        <w:fldChar w:fldCharType="end"/>
      </w:r>
      <w:r w:rsidRPr="2AB3C4C2" w:rsidR="2AB3C4C2">
        <w:rPr>
          <w:rFonts w:ascii="Arial" w:hAnsi="Arial" w:cs="Arial"/>
          <w:sz w:val="24"/>
          <w:szCs w:val="24"/>
          <w:lang w:val="es-ES"/>
        </w:rPr>
        <w:t xml:space="preserve">. La mala calidad del aire interior puede estar asociada a enfermedades respiratorias como asma, neumonía, bronquitis, faringitis, cáncer de pulmón, enfermedades de la piel como erupciones cutáneas, dermatitis y conjuntivitis. Contaminantes como </w:t>
      </w:r>
      <w:r w:rsidRPr="2AB3C4C2" w:rsidR="2AB3C4C2">
        <w:rPr>
          <w:rFonts w:ascii="Arial" w:hAnsi="Arial" w:cs="Arial"/>
          <w:sz w:val="24"/>
          <w:szCs w:val="24"/>
          <w:lang w:val="es-ES"/>
        </w:rPr>
        <w:t>NO</w:t>
      </w:r>
      <w:r w:rsidRPr="2AB3C4C2" w:rsidR="2AB3C4C2">
        <w:rPr>
          <w:rFonts w:ascii="Arial" w:hAnsi="Arial" w:cs="Arial"/>
          <w:sz w:val="24"/>
          <w:szCs w:val="24"/>
          <w:vertAlign w:val="subscript"/>
          <w:lang w:val="es-ES"/>
        </w:rPr>
        <w:t>x</w:t>
      </w:r>
      <w:r w:rsidRPr="2AB3C4C2" w:rsidR="2AB3C4C2">
        <w:rPr>
          <w:rFonts w:ascii="Arial" w:hAnsi="Arial" w:cs="Arial"/>
          <w:sz w:val="24"/>
          <w:szCs w:val="24"/>
          <w:lang w:val="es-ES"/>
        </w:rPr>
        <w:t>, SO</w:t>
      </w:r>
      <w:r w:rsidRPr="2AB3C4C2" w:rsidR="2AB3C4C2">
        <w:rPr>
          <w:rFonts w:ascii="Arial" w:hAnsi="Arial" w:cs="Arial"/>
          <w:sz w:val="24"/>
          <w:szCs w:val="24"/>
          <w:vertAlign w:val="subscript"/>
          <w:lang w:val="es-ES"/>
        </w:rPr>
        <w:t>x</w:t>
      </w:r>
      <w:r w:rsidRPr="2AB3C4C2" w:rsidR="2AB3C4C2">
        <w:rPr>
          <w:rFonts w:ascii="Arial" w:hAnsi="Arial" w:cs="Arial"/>
          <w:sz w:val="24"/>
          <w:szCs w:val="24"/>
          <w:lang w:val="es-ES"/>
        </w:rPr>
        <w:t xml:space="preserve"> y </w:t>
      </w:r>
      <w:r w:rsidRPr="2AB3C4C2" w:rsidR="2AB3C4C2">
        <w:rPr>
          <w:rFonts w:ascii="Arial" w:hAnsi="Arial" w:cs="Arial"/>
          <w:sz w:val="24"/>
          <w:szCs w:val="24"/>
          <w:lang w:val="es-ES"/>
        </w:rPr>
        <w:t>VOC´s</w:t>
      </w:r>
      <w:r w:rsidRPr="2AB3C4C2" w:rsidR="2AB3C4C2">
        <w:rPr>
          <w:rFonts w:ascii="Arial" w:hAnsi="Arial" w:cs="Arial"/>
          <w:sz w:val="24"/>
          <w:szCs w:val="24"/>
          <w:lang w:val="es-ES"/>
        </w:rPr>
        <w:t xml:space="preserve">, son los principales contaminantes que se pueden encontrar en el interior de los edificios </w:t>
      </w:r>
      <w:r w:rsidRPr="2AB3C4C2">
        <w:rPr>
          <w:rFonts w:ascii="Arial" w:hAnsi="Arial" w:cs="Arial"/>
          <w:sz w:val="24"/>
          <w:szCs w:val="24"/>
        </w:rPr>
        <w:fldChar w:fldCharType="begin" w:fldLock="true"/>
      </w:r>
      <w:r w:rsidRPr="2AB3C4C2">
        <w:rPr>
          <w:rFonts w:ascii="Arial" w:hAnsi="Arial" w:cs="Arial"/>
          <w:sz w:val="24"/>
          <w:szCs w:val="24"/>
        </w:rPr>
        <w:instrText xml:space="preserve">ADDIN CSL_CITATION {"citationItems":[{"id":"ITEM-1","itemData":{"DOI":"10.1016/j.egypro.2017.09.039","ISSN":"18766102","abstract":"Indoor air quality has received much attention in recent years because of its rising pollution levels, leading to significant health problems. Indoor air quality has become an important issue because technology development of thermal windows and buildings which have become more energy efficient, leads to sealed buildings, which can greatly increase concentration of pollutants thus presenting high risks to health. In this sense, there is more research focused on assessing human health effects due to exposure to different levels of pollution. This is particularly important as people spend on average 80-90 % of their time indoors. Reducing energy demand for heating and cooling is essential for improving the energy efficiency of a building, but modern technology re-circulates the air instead of refreshing it leads to reduced air quality. The paper attempts to provide an understanding of how contaminants, increased population density in cities, the use of new synthetic materials and traffic pollution contribute and interact to increase adverse effects on humans and deteriorate indoor air quality.","author":[{"dropping-particle":"","family":"Spiru","given":"Paraschiv","non-dropping-particle":"","parse-names":false,"suffix":""},{"dropping-particle":"","family":"Simona","given":"Paraschiv Lizica","non-dropping-particle":"","parse-names":false,"suffix":""}],"container-title":"Energy Procedia","id":"ITEM-1","issued":{"date-parts":[["2017"]]},"page":"179-186","publisher":"Elsevier B.V.","title":"A review on interactions between energy performance of the buildings, outdoor air pollution and the indoor air quality","type":"article-journal","volume":"128"},"uris":["http://www.mendeley.com/documents/?uuid=7be821a9-72d8-490e-af1c-a1bbf689196b"]}],"mendeley":{"formattedCitation":"[4]","plainTextFormattedCitation":"[4]","previouslyFormattedCitation":"(Spiru &amp; Simona, 2017)"},"properties":{"noteIndex":0},"schema":"https://github.com/citation-style-language/schema/raw/master/csl-citation.json"}</w:instrText>
      </w:r>
      <w:r w:rsidRPr="2AB3C4C2">
        <w:rPr>
          <w:rFonts w:ascii="Arial" w:hAnsi="Arial" w:cs="Arial"/>
          <w:sz w:val="24"/>
          <w:szCs w:val="24"/>
        </w:rPr>
        <w:fldChar w:fldCharType="separate"/>
      </w:r>
      <w:r w:rsidRPr="2AB3C4C2" w:rsidR="2AB3C4C2">
        <w:rPr>
          <w:rFonts w:ascii="Arial" w:hAnsi="Arial" w:cs="Arial"/>
          <w:noProof/>
          <w:sz w:val="24"/>
          <w:szCs w:val="24"/>
          <w:lang w:val="es-ES"/>
        </w:rPr>
        <w:t>[4]</w:t>
      </w:r>
      <w:r w:rsidRPr="2AB3C4C2">
        <w:rPr>
          <w:rFonts w:ascii="Arial" w:hAnsi="Arial" w:cs="Arial"/>
          <w:sz w:val="24"/>
          <w:szCs w:val="24"/>
        </w:rPr>
        <w:fldChar w:fldCharType="end"/>
      </w:r>
      <w:r w:rsidRPr="2AB3C4C2" w:rsidR="2AB3C4C2">
        <w:rPr>
          <w:rFonts w:ascii="Arial" w:hAnsi="Arial" w:cs="Arial"/>
          <w:sz w:val="24"/>
          <w:szCs w:val="24"/>
          <w:lang w:val="es-ES"/>
        </w:rPr>
        <w:t xml:space="preserve">. Recientemente, el uso de materiales </w:t>
      </w:r>
      <w:r w:rsidRPr="2AB3C4C2" w:rsidR="2AB3C4C2">
        <w:rPr>
          <w:rFonts w:ascii="Arial" w:hAnsi="Arial" w:cs="Arial"/>
          <w:sz w:val="24"/>
          <w:szCs w:val="24"/>
          <w:lang w:val="es-ES"/>
        </w:rPr>
        <w:t>fotocatalíticos</w:t>
      </w:r>
      <w:r w:rsidRPr="2AB3C4C2" w:rsidR="2AB3C4C2">
        <w:rPr>
          <w:rFonts w:ascii="Arial" w:hAnsi="Arial" w:cs="Arial"/>
          <w:sz w:val="24"/>
          <w:szCs w:val="24"/>
          <w:lang w:val="es-ES"/>
        </w:rPr>
        <w:t xml:space="preserve"> está aumentando debido a las ventajas que ofrecen para reducir los contaminantes en el agua, el suelo y el aire principalmente. La industria de la construcción es una de las principales industrias que ha considerado la </w:t>
      </w:r>
      <w:r w:rsidRPr="2AB3C4C2" w:rsidR="2AB3C4C2">
        <w:rPr>
          <w:rFonts w:ascii="Arial" w:hAnsi="Arial" w:cs="Arial"/>
          <w:sz w:val="24"/>
          <w:szCs w:val="24"/>
          <w:lang w:val="es-ES"/>
        </w:rPr>
        <w:t xml:space="preserve">fotocatálisis como una tecnología prometedora para remediación ambiental. Los óxidos </w:t>
      </w:r>
      <w:r w:rsidRPr="2AB3C4C2" w:rsidR="2AB3C4C2">
        <w:rPr>
          <w:rFonts w:ascii="Arial" w:hAnsi="Arial" w:cs="Arial"/>
          <w:sz w:val="24"/>
          <w:szCs w:val="24"/>
          <w:lang w:val="es-ES"/>
        </w:rPr>
        <w:t>fotocatalíticos</w:t>
      </w:r>
      <w:r w:rsidRPr="2AB3C4C2" w:rsidR="2AB3C4C2">
        <w:rPr>
          <w:rFonts w:ascii="Arial" w:hAnsi="Arial" w:cs="Arial"/>
          <w:sz w:val="24"/>
          <w:szCs w:val="24"/>
          <w:lang w:val="es-ES"/>
        </w:rPr>
        <w:t xml:space="preserve"> se pueden agregar a los materiales de construcción como cemento, morteros, concreto, pavimentos, pinturas y yesos y estos pueden usarse en el interior o exterior de las edificaciones </w:t>
      </w:r>
      <w:r w:rsidRPr="2AB3C4C2">
        <w:rPr>
          <w:rFonts w:ascii="Arial" w:hAnsi="Arial" w:cs="Arial"/>
          <w:sz w:val="24"/>
          <w:szCs w:val="24"/>
        </w:rPr>
        <w:fldChar w:fldCharType="begin" w:fldLock="true"/>
      </w:r>
      <w:r w:rsidRPr="2AB3C4C2">
        <w:rPr>
          <w:rFonts w:ascii="Arial" w:hAnsi="Arial" w:cs="Arial"/>
          <w:sz w:val="24"/>
          <w:szCs w:val="24"/>
        </w:rPr>
        <w:instrText xml:space="preserve">ADDIN CSL_CITATION {"citationItems":[{"id":"ITEM-1","itemData":{"DOI":"10.1016/j.mset.2019.12.001","ISSN":"25892991","author":[{"dropping-particle":"","family":"Singh","given":"V.P.","non-dropping-particle":"","parse-names":false,"suffix":""},{"dropping-particle":"","family":"Mishra","given":"Deepika","non-dropping-particle":"","parse-names":false,"suffix":""},{"dropping-particle":"","family":"Kabachkov","given":"E.N.","non-dropping-particle":"","parse-names":false,"suffix":""},{"dropping-particle":"","family":"Shul'ga","given":"Yu.M.","non-dropping-particle":"","parse-names":false,"suffix":""},{"dropping-particle":"","family":"Vaish","given":"Rahul","non-dropping-particle":"","parse-names":false,"suffix":""}],"container-title":"Materials Science for Energy Technologies","id":"ITEM-1","issued":{"date-parts":[["2020"]]},"page":"299-307","publisher":"KeAi Communications Co., Ltd","title":"The characteristics of BiOCl/Plaster of Paris composites and their photocatalytic performance under visible light illumination for self-cleaning","type":"article-journal","volume":"3"},"uris":["http://www.mendeley.com/documents/?uuid=491b3c24-86ea-49fe-9568-ed264b756188"]}],"mendeley":{"formattedCitation":"[5]","plainTextFormattedCitation":"[5]","previouslyFormattedCitation":"(Singh, Mishra, Kabachkov, Shul’ga, &amp; Vaish, 2020)"},"properties":{"noteIndex":0},"schema":"https://github.com/citation-style-language/schema/raw/master/csl-citation.json"}</w:instrText>
      </w:r>
      <w:r w:rsidRPr="2AB3C4C2">
        <w:rPr>
          <w:rFonts w:ascii="Arial" w:hAnsi="Arial" w:cs="Arial"/>
          <w:sz w:val="24"/>
          <w:szCs w:val="24"/>
        </w:rPr>
        <w:fldChar w:fldCharType="separate"/>
      </w:r>
      <w:r w:rsidRPr="2AB3C4C2" w:rsidR="2AB3C4C2">
        <w:rPr>
          <w:rFonts w:ascii="Arial" w:hAnsi="Arial" w:cs="Arial"/>
          <w:noProof/>
          <w:sz w:val="24"/>
          <w:szCs w:val="24"/>
          <w:lang w:val="es-ES"/>
        </w:rPr>
        <w:t>[5]</w:t>
      </w:r>
      <w:r w:rsidRPr="2AB3C4C2">
        <w:rPr>
          <w:rFonts w:ascii="Arial" w:hAnsi="Arial" w:cs="Arial"/>
          <w:sz w:val="24"/>
          <w:szCs w:val="24"/>
        </w:rPr>
        <w:fldChar w:fldCharType="end"/>
      </w:r>
      <w:r w:rsidRPr="2AB3C4C2" w:rsidR="2AB3C4C2">
        <w:rPr>
          <w:rFonts w:ascii="Arial" w:hAnsi="Arial" w:cs="Arial"/>
          <w:sz w:val="24"/>
          <w:szCs w:val="24"/>
          <w:lang w:val="es-ES"/>
        </w:rPr>
        <w:t xml:space="preserve">. La diferencia con el material tradicional es que los materiales de construcción </w:t>
      </w:r>
      <w:r w:rsidRPr="2AB3C4C2" w:rsidR="2AB3C4C2">
        <w:rPr>
          <w:rFonts w:ascii="Arial" w:hAnsi="Arial" w:cs="Arial"/>
          <w:sz w:val="24"/>
          <w:szCs w:val="24"/>
          <w:lang w:val="es-ES"/>
        </w:rPr>
        <w:t>fotocatalíticos</w:t>
      </w:r>
      <w:r w:rsidRPr="2AB3C4C2" w:rsidR="2AB3C4C2">
        <w:rPr>
          <w:rFonts w:ascii="Arial" w:hAnsi="Arial" w:cs="Arial"/>
          <w:sz w:val="24"/>
          <w:szCs w:val="24"/>
          <w:lang w:val="es-ES"/>
        </w:rPr>
        <w:t xml:space="preserve"> pueden oxidar gases contaminantes del aire como </w:t>
      </w:r>
      <w:r w:rsidRPr="2AB3C4C2" w:rsidR="2AB3C4C2">
        <w:rPr>
          <w:rFonts w:ascii="Arial" w:hAnsi="Arial" w:cs="Arial"/>
          <w:sz w:val="24"/>
          <w:szCs w:val="24"/>
          <w:lang w:val="es-ES"/>
        </w:rPr>
        <w:t>NO</w:t>
      </w:r>
      <w:r w:rsidRPr="2AB3C4C2" w:rsidR="2AB3C4C2">
        <w:rPr>
          <w:rFonts w:ascii="Arial" w:hAnsi="Arial" w:cs="Arial"/>
          <w:sz w:val="24"/>
          <w:szCs w:val="24"/>
          <w:vertAlign w:val="subscript"/>
          <w:lang w:val="es-ES"/>
        </w:rPr>
        <w:t>x</w:t>
      </w:r>
      <w:r w:rsidRPr="2AB3C4C2" w:rsidR="2AB3C4C2">
        <w:rPr>
          <w:rFonts w:ascii="Arial" w:hAnsi="Arial" w:cs="Arial"/>
          <w:sz w:val="24"/>
          <w:szCs w:val="24"/>
          <w:lang w:val="es-ES"/>
        </w:rPr>
        <w:t>, SO</w:t>
      </w:r>
      <w:r w:rsidRPr="2AB3C4C2" w:rsidR="2AB3C4C2">
        <w:rPr>
          <w:rFonts w:ascii="Arial" w:hAnsi="Arial" w:cs="Arial"/>
          <w:sz w:val="24"/>
          <w:szCs w:val="24"/>
          <w:vertAlign w:val="subscript"/>
          <w:lang w:val="es-ES"/>
        </w:rPr>
        <w:t>x</w:t>
      </w:r>
      <w:r w:rsidRPr="2AB3C4C2" w:rsidR="2AB3C4C2">
        <w:rPr>
          <w:rFonts w:ascii="Arial" w:hAnsi="Arial" w:cs="Arial"/>
          <w:sz w:val="24"/>
          <w:szCs w:val="24"/>
          <w:lang w:val="es-ES"/>
        </w:rPr>
        <w:t xml:space="preserve"> y </w:t>
      </w:r>
      <w:r w:rsidRPr="2AB3C4C2" w:rsidR="2AB3C4C2">
        <w:rPr>
          <w:rFonts w:ascii="Arial" w:hAnsi="Arial" w:cs="Arial"/>
          <w:sz w:val="24"/>
          <w:szCs w:val="24"/>
          <w:lang w:val="es-ES"/>
        </w:rPr>
        <w:t>COV´s</w:t>
      </w:r>
      <w:r w:rsidRPr="2AB3C4C2" w:rsidR="2AB3C4C2">
        <w:rPr>
          <w:rFonts w:ascii="Arial" w:hAnsi="Arial" w:cs="Arial"/>
          <w:sz w:val="24"/>
          <w:szCs w:val="24"/>
          <w:lang w:val="es-ES"/>
        </w:rPr>
        <w:t xml:space="preserve">. Por lo tanto, sólo se necesita un fotocatalizador y una fuente de irradiación para activar la reacción </w:t>
      </w:r>
      <w:r w:rsidRPr="2AB3C4C2" w:rsidR="2AB3C4C2">
        <w:rPr>
          <w:rFonts w:ascii="Arial" w:hAnsi="Arial" w:cs="Arial"/>
          <w:sz w:val="24"/>
          <w:szCs w:val="24"/>
          <w:lang w:val="es-ES"/>
        </w:rPr>
        <w:t>fotocatalítica</w:t>
      </w:r>
      <w:r w:rsidRPr="2AB3C4C2" w:rsidR="2AB3C4C2">
        <w:rPr>
          <w:rFonts w:ascii="Arial" w:hAnsi="Arial" w:cs="Arial"/>
          <w:sz w:val="24"/>
          <w:szCs w:val="24"/>
          <w:lang w:val="es-ES"/>
        </w:rPr>
        <w:t xml:space="preserve"> de los materiales </w:t>
      </w:r>
      <w:r w:rsidRPr="2AB3C4C2" w:rsidR="2AB3C4C2">
        <w:rPr>
          <w:rFonts w:ascii="Arial" w:hAnsi="Arial" w:cs="Arial"/>
          <w:sz w:val="24"/>
          <w:szCs w:val="24"/>
          <w:lang w:val="es-ES"/>
        </w:rPr>
        <w:t>fotocatalíticos</w:t>
      </w:r>
      <w:r w:rsidRPr="2AB3C4C2" w:rsidR="2AB3C4C2">
        <w:rPr>
          <w:rFonts w:ascii="Arial" w:hAnsi="Arial" w:cs="Arial"/>
          <w:sz w:val="24"/>
          <w:szCs w:val="24"/>
          <w:lang w:val="es-ES"/>
        </w:rPr>
        <w:t xml:space="preserve">. Los materiales de construcción más populares estudiados para aplicaciones de degradación de </w:t>
      </w:r>
      <w:r w:rsidRPr="2AB3C4C2" w:rsidR="2AB3C4C2">
        <w:rPr>
          <w:rFonts w:ascii="Arial" w:hAnsi="Arial" w:cs="Arial"/>
          <w:sz w:val="24"/>
          <w:szCs w:val="24"/>
          <w:lang w:val="es-ES"/>
        </w:rPr>
        <w:t>NO</w:t>
      </w:r>
      <w:r w:rsidRPr="2AB3C4C2" w:rsidR="2AB3C4C2">
        <w:rPr>
          <w:rFonts w:ascii="Arial" w:hAnsi="Arial" w:cs="Arial"/>
          <w:sz w:val="24"/>
          <w:szCs w:val="24"/>
          <w:vertAlign w:val="subscript"/>
          <w:lang w:val="es-ES"/>
        </w:rPr>
        <w:t>x</w:t>
      </w:r>
      <w:r w:rsidRPr="2AB3C4C2" w:rsidR="2AB3C4C2">
        <w:rPr>
          <w:rFonts w:ascii="Arial" w:hAnsi="Arial" w:cs="Arial"/>
          <w:sz w:val="24"/>
          <w:szCs w:val="24"/>
          <w:vertAlign w:val="subscript"/>
          <w:lang w:val="es-ES"/>
        </w:rPr>
        <w:t xml:space="preserve"> </w:t>
      </w:r>
      <w:r w:rsidRPr="2AB3C4C2" w:rsidR="2AB3C4C2">
        <w:rPr>
          <w:rFonts w:ascii="Arial" w:hAnsi="Arial" w:cs="Arial"/>
          <w:sz w:val="24"/>
          <w:szCs w:val="24"/>
          <w:lang w:val="es-ES"/>
        </w:rPr>
        <w:t xml:space="preserve">son los cementos, sin embargo, considerando la contaminación interior, uno de los recubrimientos más utilizados en ambientes interiores es el yeso, el cual puede ser utilizado en paredes y techos de edificios, así como en perfiles decorativos, relieves y paneles prefabricados </w:t>
      </w:r>
      <w:r w:rsidRPr="2AB3C4C2">
        <w:rPr>
          <w:rFonts w:ascii="Arial" w:hAnsi="Arial" w:cs="Arial"/>
          <w:sz w:val="24"/>
          <w:szCs w:val="24"/>
        </w:rPr>
        <w:fldChar w:fldCharType="begin" w:fldLock="true"/>
      </w:r>
      <w:r w:rsidRPr="2AB3C4C2">
        <w:rPr>
          <w:rFonts w:ascii="Arial" w:hAnsi="Arial" w:cs="Arial"/>
          <w:sz w:val="24"/>
          <w:szCs w:val="24"/>
        </w:rPr>
        <w:instrText xml:space="preserve">ADDIN CSL_CITATION {"citationItems":[{"id":"ITEM-1","itemData":{"DOI":"10.1016/j.mseb.2018.11.015","ISSN":"09215107","abstract":"Co-modified TiO2 photocatalysts (TiO2-N,C) were added to commercial gypsum to obtain self-cleaning building material. The gypsum/TiO2 composite were also studied towards their mechanical properties. The highest photocatalytic activity was obtained for gypsum samples containing TiO2/N,C photocatalyst treated at 100–300 °C, attributed to high anatase phase participation, relatively high nitrogen and carbon content and high BET surface area (ca. 170–270 m2/g). In this case (300 °C) the model pollutant (azo dye) degradation rate was 85% and 70% after 15 h of UV and vis irradiation, respectively. Higher compressive strength values was observed for gypsum sample loaded with photocatalysts treated at higher temperatures (600–800 °C), attributed to rutile phase presence and large crystallite size. The grinding operation during gypsum/TiO2 composite preparation can contribute towards the increase of compressive strength (even 40%) by reduction of gypsum particle size whereas photocatalyst particles act as the effective fillers of void spaces in gypsum material.","author":[{"dropping-particle":"","family":"Janus","given":"Magdalena","non-dropping-particle":"","parse-names":false,"suffix":""},{"dropping-particle":"","family":"Zatorska","given":"Justyna","non-dropping-particle":"","parse-names":false,"suffix":""},{"dropping-particle":"","family":"Zając","given":"Kamila","non-dropping-particle":"","parse-names":false,"suffix":""},{"dropping-particle":"","family":"Kusiak-Nejman","given":"Ewelina","non-dropping-particle":"","parse-names":false,"suffix":""},{"dropping-particle":"","family":"Czyżewski","given":"Adam","non-dropping-particle":"","parse-names":false,"suffix":""},{"dropping-particle":"","family":"Morawski","given":"Antoni W.","non-dropping-particle":"","parse-names":false,"suffix":""}],"container-title":"Materials Science and Engineering: B","id":"ITEM-1","issue":"November","issued":{"date-parts":[["2018"]]},"page":"1-9","title":"The mechanical and photocatalytic properties of modified gypsum materials","type":"article-journal","volume":"236-237"},"uris":["http://www.mendeley.com/documents/?uuid=d70c8f40-3376-4436-b9e5-e4ed79ab8e2d"]}],"mendeley":{"formattedCitation":"[6]","plainTextFormattedCitation":"[6]","previouslyFormattedCitation":"(Janus et al., 2018)"},"properties":{"noteIndex":0},"schema":"https://github.com/citation-style-language/schema/raw/master/csl-citation.json"}</w:instrText>
      </w:r>
      <w:r w:rsidRPr="2AB3C4C2">
        <w:rPr>
          <w:rFonts w:ascii="Arial" w:hAnsi="Arial" w:cs="Arial"/>
          <w:sz w:val="24"/>
          <w:szCs w:val="24"/>
        </w:rPr>
        <w:fldChar w:fldCharType="separate"/>
      </w:r>
      <w:r w:rsidRPr="2AB3C4C2" w:rsidR="2AB3C4C2">
        <w:rPr>
          <w:rFonts w:ascii="Arial" w:hAnsi="Arial" w:cs="Arial"/>
          <w:noProof/>
          <w:sz w:val="24"/>
          <w:szCs w:val="24"/>
          <w:lang w:val="es-ES"/>
        </w:rPr>
        <w:t>[6]</w:t>
      </w:r>
      <w:r w:rsidRPr="2AB3C4C2">
        <w:rPr>
          <w:rFonts w:ascii="Arial" w:hAnsi="Arial" w:cs="Arial"/>
          <w:sz w:val="24"/>
          <w:szCs w:val="24"/>
        </w:rPr>
        <w:fldChar w:fldCharType="end"/>
      </w:r>
      <w:r w:rsidRPr="2AB3C4C2" w:rsidR="2AB3C4C2">
        <w:rPr>
          <w:rFonts w:ascii="Arial" w:hAnsi="Arial" w:cs="Arial"/>
          <w:sz w:val="24"/>
          <w:szCs w:val="24"/>
          <w:lang w:val="es-ES"/>
        </w:rPr>
        <w:t>.</w:t>
      </w:r>
    </w:p>
    <w:p w:rsidRPr="00C022D7" w:rsidR="00C022D7" w:rsidP="00C022D7" w:rsidRDefault="00C022D7" w14:paraId="70B05B65" w14:textId="77777777">
      <w:pPr>
        <w:spacing w:line="360" w:lineRule="auto"/>
        <w:jc w:val="both"/>
        <w:rPr>
          <w:rFonts w:ascii="Arial" w:hAnsi="Arial" w:cs="Arial"/>
          <w:sz w:val="24"/>
          <w:szCs w:val="24"/>
        </w:rPr>
      </w:pPr>
    </w:p>
    <w:p w:rsidRPr="00C022D7" w:rsidR="00C022D7" w:rsidP="2AB3C4C2" w:rsidRDefault="00C022D7" w14:paraId="38AF2B3A" w14:textId="77777777">
      <w:pPr>
        <w:spacing w:line="360" w:lineRule="auto"/>
        <w:ind w:firstLine="432"/>
        <w:jc w:val="both"/>
        <w:rPr>
          <w:rFonts w:ascii="Arial" w:hAnsi="Arial" w:cs="Arial"/>
          <w:sz w:val="24"/>
          <w:szCs w:val="24"/>
          <w:lang w:val="es-ES"/>
        </w:rPr>
      </w:pPr>
      <w:r w:rsidRPr="2AB3C4C2" w:rsidR="2AB3C4C2">
        <w:rPr>
          <w:rFonts w:ascii="Arial" w:hAnsi="Arial" w:cs="Arial"/>
          <w:sz w:val="24"/>
          <w:szCs w:val="24"/>
          <w:lang w:val="es-ES"/>
        </w:rPr>
        <w:t xml:space="preserve">Existen algunas investigaciones sobre la fabricación de yeso </w:t>
      </w:r>
      <w:r w:rsidRPr="2AB3C4C2" w:rsidR="2AB3C4C2">
        <w:rPr>
          <w:rFonts w:ascii="Arial" w:hAnsi="Arial" w:cs="Arial"/>
          <w:sz w:val="24"/>
          <w:szCs w:val="24"/>
          <w:lang w:val="es-ES"/>
        </w:rPr>
        <w:t>fotocatalítico</w:t>
      </w:r>
      <w:r w:rsidRPr="2AB3C4C2" w:rsidR="2AB3C4C2">
        <w:rPr>
          <w:rFonts w:ascii="Arial" w:hAnsi="Arial" w:cs="Arial"/>
          <w:sz w:val="24"/>
          <w:szCs w:val="24"/>
          <w:lang w:val="es-ES"/>
        </w:rPr>
        <w:t xml:space="preserve"> con adición de dióxido de titanio (TiO</w:t>
      </w:r>
      <w:r w:rsidRPr="2AB3C4C2" w:rsidR="2AB3C4C2">
        <w:rPr>
          <w:rFonts w:ascii="Arial" w:hAnsi="Arial" w:cs="Arial"/>
          <w:sz w:val="24"/>
          <w:szCs w:val="24"/>
          <w:vertAlign w:val="subscript"/>
          <w:lang w:val="es-ES"/>
        </w:rPr>
        <w:t>2</w:t>
      </w:r>
      <w:r w:rsidRPr="2AB3C4C2" w:rsidR="2AB3C4C2">
        <w:rPr>
          <w:rFonts w:ascii="Arial" w:hAnsi="Arial" w:cs="Arial"/>
          <w:sz w:val="24"/>
          <w:szCs w:val="24"/>
          <w:lang w:val="es-ES"/>
        </w:rPr>
        <w:t xml:space="preserve">), sin embargo, el empleo de </w:t>
      </w:r>
      <w:r w:rsidRPr="2AB3C4C2" w:rsidR="2AB3C4C2">
        <w:rPr>
          <w:rFonts w:ascii="Arial" w:hAnsi="Arial" w:cs="Arial"/>
          <w:sz w:val="24"/>
          <w:szCs w:val="24"/>
          <w:lang w:val="es-ES"/>
        </w:rPr>
        <w:t>ZnO</w:t>
      </w:r>
      <w:r w:rsidRPr="2AB3C4C2" w:rsidR="2AB3C4C2">
        <w:rPr>
          <w:rFonts w:ascii="Arial" w:hAnsi="Arial" w:cs="Arial"/>
          <w:sz w:val="24"/>
          <w:szCs w:val="24"/>
          <w:lang w:val="es-ES"/>
        </w:rPr>
        <w:t xml:space="preserve"> en este tipo de materiales no sido evaluado. Por lo cual, en este trabajo de investigación se propone la adición de </w:t>
      </w:r>
      <w:r w:rsidRPr="2AB3C4C2" w:rsidR="2AB3C4C2">
        <w:rPr>
          <w:rFonts w:ascii="Arial" w:hAnsi="Arial" w:cs="Arial"/>
          <w:sz w:val="24"/>
          <w:szCs w:val="24"/>
          <w:lang w:val="es-ES"/>
        </w:rPr>
        <w:t>ZnO</w:t>
      </w:r>
      <w:r w:rsidRPr="2AB3C4C2" w:rsidR="2AB3C4C2">
        <w:rPr>
          <w:rFonts w:ascii="Arial" w:hAnsi="Arial" w:cs="Arial"/>
          <w:sz w:val="24"/>
          <w:szCs w:val="24"/>
          <w:lang w:val="es-ES"/>
        </w:rPr>
        <w:t xml:space="preserve"> comercial (802) en muestras de yeso con el fin de evaluar su capacidad para eliminar gases tipo </w:t>
      </w:r>
      <w:r w:rsidRPr="2AB3C4C2" w:rsidR="2AB3C4C2">
        <w:rPr>
          <w:rFonts w:ascii="Arial" w:hAnsi="Arial" w:cs="Arial"/>
          <w:sz w:val="24"/>
          <w:szCs w:val="24"/>
          <w:lang w:val="es-ES"/>
        </w:rPr>
        <w:t>NO</w:t>
      </w:r>
      <w:r w:rsidRPr="2AB3C4C2" w:rsidR="2AB3C4C2">
        <w:rPr>
          <w:rFonts w:ascii="Arial" w:hAnsi="Arial" w:cs="Arial"/>
          <w:sz w:val="24"/>
          <w:szCs w:val="24"/>
          <w:vertAlign w:val="subscript"/>
          <w:lang w:val="es-ES"/>
        </w:rPr>
        <w:t>x</w:t>
      </w:r>
      <w:r w:rsidRPr="2AB3C4C2" w:rsidR="2AB3C4C2">
        <w:rPr>
          <w:rFonts w:ascii="Arial" w:hAnsi="Arial" w:cs="Arial"/>
          <w:sz w:val="24"/>
          <w:szCs w:val="24"/>
          <w:lang w:val="es-ES"/>
        </w:rPr>
        <w:t xml:space="preserve"> en espacios interiores.</w:t>
      </w:r>
    </w:p>
    <w:p w:rsidRPr="00C022D7" w:rsidR="00C022D7" w:rsidP="00C022D7" w:rsidRDefault="00C022D7" w14:paraId="331A1B86" w14:textId="77777777">
      <w:pPr>
        <w:spacing w:line="360" w:lineRule="auto"/>
        <w:jc w:val="both"/>
        <w:rPr>
          <w:rFonts w:ascii="Arial" w:hAnsi="Arial" w:cs="Arial"/>
          <w:b/>
          <w:sz w:val="24"/>
          <w:szCs w:val="24"/>
          <w:lang w:val="es-ES"/>
        </w:rPr>
      </w:pPr>
    </w:p>
    <w:p w:rsidR="00C022D7" w:rsidP="00C022D7" w:rsidRDefault="00C022D7" w14:paraId="0BB9A887" w14:textId="77777777">
      <w:pPr>
        <w:spacing w:line="360" w:lineRule="auto"/>
        <w:jc w:val="both"/>
        <w:rPr>
          <w:rFonts w:ascii="Arial" w:hAnsi="Arial" w:cs="Arial"/>
          <w:b/>
          <w:sz w:val="24"/>
          <w:szCs w:val="24"/>
          <w:lang w:val="es-ES"/>
        </w:rPr>
      </w:pPr>
    </w:p>
    <w:p w:rsidRPr="00EB1E25" w:rsidR="00C022D7" w:rsidP="00C022D7" w:rsidRDefault="00EB1E25" w14:paraId="0B9EBA27" w14:textId="1C147547">
      <w:pPr>
        <w:spacing w:line="360" w:lineRule="auto"/>
        <w:jc w:val="both"/>
        <w:rPr>
          <w:rFonts w:ascii="Arial Black" w:hAnsi="Arial Black" w:cs="Arial"/>
          <w:b/>
          <w:sz w:val="28"/>
          <w:szCs w:val="28"/>
          <w:lang w:val="es-ES"/>
        </w:rPr>
      </w:pPr>
      <w:r w:rsidRPr="00EB1E25">
        <w:rPr>
          <w:rFonts w:ascii="Arial Black" w:hAnsi="Arial Black" w:cs="Arial"/>
          <w:b/>
          <w:sz w:val="28"/>
          <w:szCs w:val="28"/>
          <w:lang w:val="es-ES"/>
        </w:rPr>
        <w:t xml:space="preserve">2. METODOLOGÍA </w:t>
      </w:r>
    </w:p>
    <w:p w:rsidRPr="00C022D7" w:rsidR="00C022D7" w:rsidP="00C022D7" w:rsidRDefault="00C022D7" w14:paraId="443CEE38" w14:textId="77777777">
      <w:pPr>
        <w:spacing w:line="360" w:lineRule="auto"/>
        <w:jc w:val="both"/>
        <w:rPr>
          <w:rFonts w:ascii="Arial" w:hAnsi="Arial" w:cs="Arial"/>
          <w:sz w:val="24"/>
          <w:szCs w:val="24"/>
        </w:rPr>
      </w:pPr>
      <w:r w:rsidRPr="00C022D7">
        <w:rPr>
          <w:rFonts w:ascii="Arial" w:hAnsi="Arial" w:cs="Arial"/>
          <w:sz w:val="24"/>
          <w:szCs w:val="24"/>
        </w:rPr>
        <w:t>Preparación de las muestras de mortero</w:t>
      </w:r>
    </w:p>
    <w:p w:rsidRPr="00C022D7" w:rsidR="00C022D7" w:rsidP="2AB3C4C2" w:rsidRDefault="00C022D7" w14:paraId="708BBE12" w14:textId="77777777">
      <w:pPr>
        <w:spacing w:line="360" w:lineRule="auto"/>
        <w:jc w:val="both"/>
        <w:rPr>
          <w:rFonts w:ascii="Arial" w:hAnsi="Arial" w:cs="Arial"/>
          <w:sz w:val="24"/>
          <w:szCs w:val="24"/>
          <w:lang w:val="es-ES"/>
        </w:rPr>
      </w:pPr>
      <w:r w:rsidRPr="2AB3C4C2" w:rsidR="2AB3C4C2">
        <w:rPr>
          <w:rFonts w:ascii="Arial" w:hAnsi="Arial" w:cs="Arial"/>
          <w:sz w:val="24"/>
          <w:szCs w:val="24"/>
          <w:lang w:val="es-ES"/>
        </w:rPr>
        <w:t xml:space="preserve">Las muestras de yeso se prepararon mediante la mezcla de las materias primas según las proporciones indicadas en la Tabla 1. Las probetas se prepararon con yeso comercial y se utilizó una relación yeso: agua de 1:0.8. Las muestras se obtuvieron mediante la adición de polvo de </w:t>
      </w:r>
      <w:r w:rsidRPr="2AB3C4C2" w:rsidR="2AB3C4C2">
        <w:rPr>
          <w:rFonts w:ascii="Arial" w:hAnsi="Arial" w:cs="Arial"/>
          <w:sz w:val="24"/>
          <w:szCs w:val="24"/>
          <w:lang w:val="es-ES"/>
        </w:rPr>
        <w:t>ZnO</w:t>
      </w:r>
      <w:r w:rsidRPr="2AB3C4C2" w:rsidR="2AB3C4C2">
        <w:rPr>
          <w:rFonts w:ascii="Arial" w:hAnsi="Arial" w:cs="Arial"/>
          <w:sz w:val="24"/>
          <w:szCs w:val="24"/>
          <w:lang w:val="es-ES"/>
        </w:rPr>
        <w:t xml:space="preserve"> directamente en mezcla. Las proporciones del fotocatalizador utilizadas fueron 1 y 3% en peso en relación con en el contenido total de yeso. Después del proceso de mezclado, el yeso se vertió sobre moldes con dimensiones de 10 x 5 x </w:t>
      </w:r>
      <w:r w:rsidRPr="2AB3C4C2" w:rsidR="2AB3C4C2">
        <w:rPr>
          <w:rFonts w:ascii="Arial" w:hAnsi="Arial" w:cs="Arial"/>
          <w:sz w:val="24"/>
          <w:szCs w:val="24"/>
          <w:lang w:val="es-ES"/>
        </w:rPr>
        <w:t xml:space="preserve">2.5 cm y se curó por 14 días. Transcurrido este tiempo, se llevó a cabo la evaluación de la actividad </w:t>
      </w:r>
      <w:r w:rsidRPr="2AB3C4C2" w:rsidR="2AB3C4C2">
        <w:rPr>
          <w:rFonts w:ascii="Arial" w:hAnsi="Arial" w:cs="Arial"/>
          <w:sz w:val="24"/>
          <w:szCs w:val="24"/>
          <w:lang w:val="es-ES"/>
        </w:rPr>
        <w:t>fotocatalítica</w:t>
      </w:r>
      <w:r w:rsidRPr="2AB3C4C2" w:rsidR="2AB3C4C2">
        <w:rPr>
          <w:rFonts w:ascii="Arial" w:hAnsi="Arial" w:cs="Arial"/>
          <w:sz w:val="24"/>
          <w:szCs w:val="24"/>
          <w:lang w:val="es-ES"/>
        </w:rPr>
        <w:t xml:space="preserve"> de las muestras para la degradación de NO.</w:t>
      </w:r>
    </w:p>
    <w:p w:rsidRPr="00C022D7" w:rsidR="00C022D7" w:rsidP="00C022D7" w:rsidRDefault="00C022D7" w14:paraId="3C07AFAD" w14:textId="77777777">
      <w:pPr>
        <w:spacing w:line="360" w:lineRule="auto"/>
        <w:jc w:val="both"/>
        <w:rPr>
          <w:rFonts w:ascii="Arial" w:hAnsi="Arial" w:cs="Arial"/>
          <w:sz w:val="24"/>
          <w:szCs w:val="24"/>
        </w:rPr>
      </w:pPr>
    </w:p>
    <w:tbl>
      <w:tblPr>
        <w:tblStyle w:val="Tablaconcuadrcula"/>
        <w:tblW w:w="4633" w:type="dxa"/>
        <w:tblLook w:val="04A0" w:firstRow="1" w:lastRow="0" w:firstColumn="1" w:lastColumn="0" w:noHBand="0" w:noVBand="1"/>
      </w:tblPr>
      <w:tblGrid>
        <w:gridCol w:w="1324"/>
        <w:gridCol w:w="1131"/>
        <w:gridCol w:w="1089"/>
        <w:gridCol w:w="1089"/>
      </w:tblGrid>
      <w:tr w:rsidRPr="00C022D7" w:rsidR="00C022D7" w:rsidTr="2AB3C4C2" w14:paraId="69496892" w14:textId="77777777">
        <w:tc>
          <w:tcPr>
            <w:tcW w:w="1324" w:type="dxa"/>
            <w:vMerge w:val="restart"/>
            <w:tcMar/>
          </w:tcPr>
          <w:p w:rsidRPr="00C022D7" w:rsidR="00C022D7" w:rsidP="00C022D7" w:rsidRDefault="00C022D7" w14:paraId="17C89307" w14:textId="77777777">
            <w:pPr>
              <w:spacing w:line="360" w:lineRule="auto"/>
              <w:jc w:val="both"/>
              <w:rPr>
                <w:rFonts w:ascii="Arial" w:hAnsi="Arial" w:cs="Arial"/>
                <w:sz w:val="24"/>
                <w:szCs w:val="24"/>
              </w:rPr>
            </w:pPr>
            <w:r w:rsidRPr="00C022D7">
              <w:rPr>
                <w:rFonts w:ascii="Arial" w:hAnsi="Arial" w:cs="Arial"/>
                <w:iCs/>
                <w:sz w:val="24"/>
                <w:szCs w:val="24"/>
              </w:rPr>
              <w:t>Materiales</w:t>
            </w:r>
          </w:p>
        </w:tc>
        <w:tc>
          <w:tcPr>
            <w:tcW w:w="3309" w:type="dxa"/>
            <w:gridSpan w:val="3"/>
            <w:tcMar/>
          </w:tcPr>
          <w:p w:rsidRPr="00C022D7" w:rsidR="00C022D7" w:rsidP="00C022D7" w:rsidRDefault="00C022D7" w14:paraId="04BD3290" w14:textId="77777777">
            <w:pPr>
              <w:spacing w:line="360" w:lineRule="auto"/>
              <w:jc w:val="both"/>
              <w:rPr>
                <w:rFonts w:ascii="Arial" w:hAnsi="Arial" w:cs="Arial"/>
                <w:sz w:val="24"/>
                <w:szCs w:val="24"/>
              </w:rPr>
            </w:pPr>
            <w:r w:rsidRPr="00C022D7">
              <w:rPr>
                <w:rFonts w:ascii="Arial" w:hAnsi="Arial" w:cs="Arial" w:eastAsiaTheme="majorEastAsia"/>
                <w:iCs/>
                <w:sz w:val="24"/>
                <w:szCs w:val="24"/>
              </w:rPr>
              <w:t>Formulación</w:t>
            </w:r>
          </w:p>
        </w:tc>
      </w:tr>
      <w:tr w:rsidRPr="00C022D7" w:rsidR="00C022D7" w:rsidTr="2AB3C4C2" w14:paraId="1E147F86" w14:textId="77777777">
        <w:tc>
          <w:tcPr>
            <w:tcW w:w="1324" w:type="dxa"/>
            <w:vMerge/>
            <w:tcMar/>
          </w:tcPr>
          <w:p w:rsidRPr="00C022D7" w:rsidR="00C022D7" w:rsidP="00C022D7" w:rsidRDefault="00C022D7" w14:paraId="403D93F6" w14:textId="77777777">
            <w:pPr>
              <w:spacing w:line="360" w:lineRule="auto"/>
              <w:jc w:val="both"/>
              <w:rPr>
                <w:rFonts w:ascii="Arial" w:hAnsi="Arial" w:cs="Arial"/>
                <w:sz w:val="24"/>
                <w:szCs w:val="24"/>
              </w:rPr>
            </w:pPr>
          </w:p>
        </w:tc>
        <w:tc>
          <w:tcPr>
            <w:tcW w:w="1131" w:type="dxa"/>
            <w:tcMar/>
          </w:tcPr>
          <w:p w:rsidRPr="00C022D7" w:rsidR="00C022D7" w:rsidP="00C022D7" w:rsidRDefault="00C022D7" w14:paraId="156225ED" w14:textId="77777777">
            <w:pPr>
              <w:spacing w:line="360" w:lineRule="auto"/>
              <w:jc w:val="both"/>
              <w:rPr>
                <w:rFonts w:ascii="Arial" w:hAnsi="Arial" w:cs="Arial"/>
                <w:b/>
                <w:bCs/>
                <w:sz w:val="24"/>
                <w:szCs w:val="24"/>
              </w:rPr>
            </w:pPr>
            <w:r w:rsidRPr="00C022D7">
              <w:rPr>
                <w:rFonts w:ascii="Arial" w:hAnsi="Arial" w:cs="Arial"/>
                <w:b/>
                <w:bCs/>
                <w:iCs/>
                <w:sz w:val="24"/>
                <w:szCs w:val="24"/>
              </w:rPr>
              <w:t>Control</w:t>
            </w:r>
          </w:p>
        </w:tc>
        <w:tc>
          <w:tcPr>
            <w:tcW w:w="1089" w:type="dxa"/>
            <w:tcMar/>
          </w:tcPr>
          <w:p w:rsidRPr="00C022D7" w:rsidR="00C022D7" w:rsidP="00C022D7" w:rsidRDefault="00C022D7" w14:paraId="7155BB9A" w14:textId="77777777">
            <w:pPr>
              <w:spacing w:line="360" w:lineRule="auto"/>
              <w:jc w:val="both"/>
              <w:rPr>
                <w:rFonts w:ascii="Arial" w:hAnsi="Arial" w:cs="Arial"/>
                <w:b/>
                <w:bCs/>
                <w:sz w:val="24"/>
                <w:szCs w:val="24"/>
              </w:rPr>
            </w:pPr>
            <w:r w:rsidRPr="00C022D7">
              <w:rPr>
                <w:rFonts w:ascii="Arial" w:hAnsi="Arial" w:cs="Arial"/>
                <w:b/>
                <w:bCs/>
                <w:iCs/>
                <w:sz w:val="24"/>
                <w:szCs w:val="24"/>
              </w:rPr>
              <w:t>1%</w:t>
            </w:r>
          </w:p>
        </w:tc>
        <w:tc>
          <w:tcPr>
            <w:tcW w:w="1089" w:type="dxa"/>
            <w:tcMar/>
          </w:tcPr>
          <w:p w:rsidRPr="00C022D7" w:rsidR="00C022D7" w:rsidP="00C022D7" w:rsidRDefault="00C022D7" w14:paraId="010B003B" w14:textId="77777777">
            <w:pPr>
              <w:spacing w:line="360" w:lineRule="auto"/>
              <w:jc w:val="both"/>
              <w:rPr>
                <w:rFonts w:ascii="Arial" w:hAnsi="Arial" w:cs="Arial"/>
                <w:b/>
                <w:bCs/>
                <w:sz w:val="24"/>
                <w:szCs w:val="24"/>
              </w:rPr>
            </w:pPr>
            <w:r w:rsidRPr="00C022D7">
              <w:rPr>
                <w:rFonts w:ascii="Arial" w:hAnsi="Arial" w:cs="Arial"/>
                <w:b/>
                <w:bCs/>
                <w:iCs/>
                <w:sz w:val="24"/>
                <w:szCs w:val="24"/>
              </w:rPr>
              <w:t>3%</w:t>
            </w:r>
          </w:p>
        </w:tc>
      </w:tr>
      <w:tr w:rsidRPr="00C022D7" w:rsidR="00C022D7" w:rsidTr="2AB3C4C2" w14:paraId="1D4A9820" w14:textId="77777777">
        <w:tc>
          <w:tcPr>
            <w:tcW w:w="1324" w:type="dxa"/>
            <w:tcMar/>
          </w:tcPr>
          <w:p w:rsidRPr="00C022D7" w:rsidR="00C022D7" w:rsidP="00C022D7" w:rsidRDefault="00C022D7" w14:paraId="136CF1FA" w14:textId="77777777">
            <w:pPr>
              <w:spacing w:line="360" w:lineRule="auto"/>
              <w:jc w:val="both"/>
              <w:rPr>
                <w:rFonts w:ascii="Arial" w:hAnsi="Arial" w:cs="Arial"/>
                <w:sz w:val="24"/>
                <w:szCs w:val="24"/>
              </w:rPr>
            </w:pPr>
            <w:r w:rsidRPr="00C022D7">
              <w:rPr>
                <w:rFonts w:ascii="Arial" w:hAnsi="Arial" w:cs="Arial"/>
                <w:iCs/>
                <w:sz w:val="24"/>
                <w:szCs w:val="24"/>
              </w:rPr>
              <w:t>Yeso (g)</w:t>
            </w:r>
          </w:p>
        </w:tc>
        <w:tc>
          <w:tcPr>
            <w:tcW w:w="1131" w:type="dxa"/>
            <w:tcMar/>
          </w:tcPr>
          <w:p w:rsidRPr="00C022D7" w:rsidR="00C022D7" w:rsidP="00C022D7" w:rsidRDefault="00C022D7" w14:paraId="558BCEEF" w14:textId="77777777">
            <w:pPr>
              <w:spacing w:line="360" w:lineRule="auto"/>
              <w:jc w:val="both"/>
              <w:rPr>
                <w:rFonts w:ascii="Arial" w:hAnsi="Arial" w:cs="Arial"/>
                <w:sz w:val="24"/>
                <w:szCs w:val="24"/>
              </w:rPr>
            </w:pPr>
            <w:r w:rsidRPr="00C022D7">
              <w:rPr>
                <w:rFonts w:ascii="Arial" w:hAnsi="Arial" w:cs="Arial"/>
                <w:iCs/>
                <w:sz w:val="24"/>
                <w:szCs w:val="24"/>
              </w:rPr>
              <w:t>10</w:t>
            </w:r>
          </w:p>
        </w:tc>
        <w:tc>
          <w:tcPr>
            <w:tcW w:w="1089" w:type="dxa"/>
            <w:tcMar/>
          </w:tcPr>
          <w:p w:rsidRPr="00C022D7" w:rsidR="00C022D7" w:rsidP="00C022D7" w:rsidRDefault="00C022D7" w14:paraId="6F8E977A" w14:textId="77777777">
            <w:pPr>
              <w:spacing w:line="360" w:lineRule="auto"/>
              <w:jc w:val="both"/>
              <w:rPr>
                <w:rFonts w:ascii="Arial" w:hAnsi="Arial" w:cs="Arial"/>
                <w:sz w:val="24"/>
                <w:szCs w:val="24"/>
              </w:rPr>
            </w:pPr>
            <w:r w:rsidRPr="00C022D7">
              <w:rPr>
                <w:rFonts w:ascii="Arial" w:hAnsi="Arial" w:cs="Arial"/>
                <w:iCs/>
                <w:sz w:val="24"/>
                <w:szCs w:val="24"/>
              </w:rPr>
              <w:t>9.9</w:t>
            </w:r>
          </w:p>
        </w:tc>
        <w:tc>
          <w:tcPr>
            <w:tcW w:w="1089" w:type="dxa"/>
            <w:tcMar/>
          </w:tcPr>
          <w:p w:rsidRPr="00C022D7" w:rsidR="00C022D7" w:rsidP="00C022D7" w:rsidRDefault="00C022D7" w14:paraId="4C561403" w14:textId="77777777">
            <w:pPr>
              <w:spacing w:line="360" w:lineRule="auto"/>
              <w:jc w:val="both"/>
              <w:rPr>
                <w:rFonts w:ascii="Arial" w:hAnsi="Arial" w:cs="Arial"/>
                <w:sz w:val="24"/>
                <w:szCs w:val="24"/>
              </w:rPr>
            </w:pPr>
            <w:r w:rsidRPr="00C022D7">
              <w:rPr>
                <w:rFonts w:ascii="Arial" w:hAnsi="Arial" w:cs="Arial"/>
                <w:iCs/>
                <w:sz w:val="24"/>
                <w:szCs w:val="24"/>
              </w:rPr>
              <w:t>9.7</w:t>
            </w:r>
          </w:p>
        </w:tc>
      </w:tr>
      <w:tr w:rsidRPr="00C022D7" w:rsidR="00C022D7" w:rsidTr="2AB3C4C2" w14:paraId="53F0005C" w14:textId="77777777">
        <w:tc>
          <w:tcPr>
            <w:tcW w:w="1324" w:type="dxa"/>
            <w:tcMar/>
          </w:tcPr>
          <w:p w:rsidRPr="00C022D7" w:rsidR="00C022D7" w:rsidP="2AB3C4C2" w:rsidRDefault="00C022D7" w14:paraId="51BABFB7" w14:textId="77777777">
            <w:pPr>
              <w:spacing w:line="360" w:lineRule="auto"/>
              <w:jc w:val="both"/>
              <w:rPr>
                <w:rFonts w:ascii="Arial" w:hAnsi="Arial" w:cs="Arial"/>
                <w:sz w:val="24"/>
                <w:szCs w:val="24"/>
                <w:lang w:val="es-ES"/>
              </w:rPr>
            </w:pPr>
            <w:r w:rsidRPr="2AB3C4C2" w:rsidR="2AB3C4C2">
              <w:rPr>
                <w:rFonts w:ascii="Arial" w:hAnsi="Arial" w:cs="Arial"/>
                <w:sz w:val="24"/>
                <w:szCs w:val="24"/>
                <w:lang w:val="es-ES"/>
              </w:rPr>
              <w:t>ZnO</w:t>
            </w:r>
            <w:r w:rsidRPr="2AB3C4C2" w:rsidR="2AB3C4C2">
              <w:rPr>
                <w:rFonts w:ascii="Arial" w:hAnsi="Arial" w:cs="Arial"/>
                <w:sz w:val="24"/>
                <w:szCs w:val="24"/>
                <w:lang w:val="es-ES"/>
              </w:rPr>
              <w:t xml:space="preserve"> (g)</w:t>
            </w:r>
          </w:p>
        </w:tc>
        <w:tc>
          <w:tcPr>
            <w:tcW w:w="1131" w:type="dxa"/>
            <w:tcMar/>
          </w:tcPr>
          <w:p w:rsidRPr="00C022D7" w:rsidR="00C022D7" w:rsidP="00C022D7" w:rsidRDefault="00C022D7" w14:paraId="0459C340" w14:textId="77777777">
            <w:pPr>
              <w:spacing w:line="360" w:lineRule="auto"/>
              <w:jc w:val="both"/>
              <w:rPr>
                <w:rFonts w:ascii="Arial" w:hAnsi="Arial" w:cs="Arial"/>
                <w:sz w:val="24"/>
                <w:szCs w:val="24"/>
              </w:rPr>
            </w:pPr>
            <w:r w:rsidRPr="00C022D7">
              <w:rPr>
                <w:rFonts w:ascii="Arial" w:hAnsi="Arial" w:cs="Arial"/>
                <w:iCs/>
                <w:sz w:val="24"/>
                <w:szCs w:val="24"/>
              </w:rPr>
              <w:t>0</w:t>
            </w:r>
          </w:p>
        </w:tc>
        <w:tc>
          <w:tcPr>
            <w:tcW w:w="1089" w:type="dxa"/>
            <w:tcMar/>
          </w:tcPr>
          <w:p w:rsidRPr="00C022D7" w:rsidR="00C022D7" w:rsidP="00C022D7" w:rsidRDefault="00C022D7" w14:paraId="02A413B8" w14:textId="77777777">
            <w:pPr>
              <w:spacing w:line="360" w:lineRule="auto"/>
              <w:jc w:val="both"/>
              <w:rPr>
                <w:rFonts w:ascii="Arial" w:hAnsi="Arial" w:cs="Arial"/>
                <w:sz w:val="24"/>
                <w:szCs w:val="24"/>
              </w:rPr>
            </w:pPr>
            <w:r w:rsidRPr="00C022D7">
              <w:rPr>
                <w:rFonts w:ascii="Arial" w:hAnsi="Arial" w:cs="Arial"/>
                <w:iCs/>
                <w:sz w:val="24"/>
                <w:szCs w:val="24"/>
              </w:rPr>
              <w:t>0.1</w:t>
            </w:r>
          </w:p>
        </w:tc>
        <w:tc>
          <w:tcPr>
            <w:tcW w:w="1089" w:type="dxa"/>
            <w:tcMar/>
          </w:tcPr>
          <w:p w:rsidRPr="00C022D7" w:rsidR="00C022D7" w:rsidP="00C022D7" w:rsidRDefault="00C022D7" w14:paraId="6B95266C" w14:textId="77777777">
            <w:pPr>
              <w:spacing w:line="360" w:lineRule="auto"/>
              <w:jc w:val="both"/>
              <w:rPr>
                <w:rFonts w:ascii="Arial" w:hAnsi="Arial" w:cs="Arial"/>
                <w:sz w:val="24"/>
                <w:szCs w:val="24"/>
              </w:rPr>
            </w:pPr>
            <w:r w:rsidRPr="00C022D7">
              <w:rPr>
                <w:rFonts w:ascii="Arial" w:hAnsi="Arial" w:cs="Arial"/>
                <w:iCs/>
                <w:sz w:val="24"/>
                <w:szCs w:val="24"/>
              </w:rPr>
              <w:t>0.3</w:t>
            </w:r>
          </w:p>
        </w:tc>
      </w:tr>
      <w:tr w:rsidRPr="00C022D7" w:rsidR="00C022D7" w:rsidTr="2AB3C4C2" w14:paraId="03DF3BB3" w14:textId="77777777">
        <w:tc>
          <w:tcPr>
            <w:tcW w:w="1324" w:type="dxa"/>
            <w:tcMar/>
          </w:tcPr>
          <w:p w:rsidRPr="00C022D7" w:rsidR="00C022D7" w:rsidP="2AB3C4C2" w:rsidRDefault="00C022D7" w14:paraId="394AB565" w14:textId="77777777">
            <w:pPr>
              <w:spacing w:line="360" w:lineRule="auto"/>
              <w:jc w:val="both"/>
              <w:rPr>
                <w:rFonts w:ascii="Arial" w:hAnsi="Arial" w:cs="Arial"/>
                <w:sz w:val="24"/>
                <w:szCs w:val="24"/>
                <w:lang w:val="es-ES"/>
              </w:rPr>
            </w:pPr>
            <w:r w:rsidRPr="2AB3C4C2" w:rsidR="2AB3C4C2">
              <w:rPr>
                <w:rFonts w:ascii="Arial" w:hAnsi="Arial" w:cs="Arial"/>
                <w:sz w:val="24"/>
                <w:szCs w:val="24"/>
                <w:lang w:val="es-ES"/>
              </w:rPr>
              <w:t>Agua (</w:t>
            </w:r>
            <w:r w:rsidRPr="2AB3C4C2" w:rsidR="2AB3C4C2">
              <w:rPr>
                <w:rFonts w:ascii="Arial" w:hAnsi="Arial" w:cs="Arial"/>
                <w:sz w:val="24"/>
                <w:szCs w:val="24"/>
                <w:lang w:val="es-ES"/>
              </w:rPr>
              <w:t>mL</w:t>
            </w:r>
            <w:r w:rsidRPr="2AB3C4C2" w:rsidR="2AB3C4C2">
              <w:rPr>
                <w:rFonts w:ascii="Arial" w:hAnsi="Arial" w:cs="Arial"/>
                <w:sz w:val="24"/>
                <w:szCs w:val="24"/>
                <w:lang w:val="es-ES"/>
              </w:rPr>
              <w:t>)</w:t>
            </w:r>
          </w:p>
        </w:tc>
        <w:tc>
          <w:tcPr>
            <w:tcW w:w="1131" w:type="dxa"/>
            <w:tcMar/>
          </w:tcPr>
          <w:p w:rsidRPr="00C022D7" w:rsidR="00C022D7" w:rsidP="00C022D7" w:rsidRDefault="00C022D7" w14:paraId="021DB3B8" w14:textId="77777777">
            <w:pPr>
              <w:spacing w:line="360" w:lineRule="auto"/>
              <w:jc w:val="both"/>
              <w:rPr>
                <w:rFonts w:ascii="Arial" w:hAnsi="Arial" w:cs="Arial"/>
                <w:sz w:val="24"/>
                <w:szCs w:val="24"/>
              </w:rPr>
            </w:pPr>
            <w:r w:rsidRPr="00C022D7">
              <w:rPr>
                <w:rFonts w:ascii="Arial" w:hAnsi="Arial" w:cs="Arial"/>
                <w:iCs/>
                <w:sz w:val="24"/>
                <w:szCs w:val="24"/>
              </w:rPr>
              <w:t>0.8</w:t>
            </w:r>
          </w:p>
        </w:tc>
        <w:tc>
          <w:tcPr>
            <w:tcW w:w="1089" w:type="dxa"/>
            <w:tcMar/>
          </w:tcPr>
          <w:p w:rsidRPr="00C022D7" w:rsidR="00C022D7" w:rsidP="00C022D7" w:rsidRDefault="00C022D7" w14:paraId="48844D05" w14:textId="77777777">
            <w:pPr>
              <w:spacing w:line="360" w:lineRule="auto"/>
              <w:jc w:val="both"/>
              <w:rPr>
                <w:rFonts w:ascii="Arial" w:hAnsi="Arial" w:cs="Arial"/>
                <w:sz w:val="24"/>
                <w:szCs w:val="24"/>
              </w:rPr>
            </w:pPr>
            <w:r w:rsidRPr="00C022D7">
              <w:rPr>
                <w:rFonts w:ascii="Arial" w:hAnsi="Arial" w:cs="Arial"/>
                <w:iCs/>
                <w:sz w:val="24"/>
                <w:szCs w:val="24"/>
              </w:rPr>
              <w:t>0.8</w:t>
            </w:r>
          </w:p>
        </w:tc>
        <w:tc>
          <w:tcPr>
            <w:tcW w:w="1089" w:type="dxa"/>
            <w:tcMar/>
          </w:tcPr>
          <w:p w:rsidRPr="00C022D7" w:rsidR="00C022D7" w:rsidP="00C022D7" w:rsidRDefault="00C022D7" w14:paraId="168B94FC" w14:textId="77777777">
            <w:pPr>
              <w:spacing w:line="360" w:lineRule="auto"/>
              <w:jc w:val="both"/>
              <w:rPr>
                <w:rFonts w:ascii="Arial" w:hAnsi="Arial" w:cs="Arial"/>
                <w:sz w:val="24"/>
                <w:szCs w:val="24"/>
              </w:rPr>
            </w:pPr>
            <w:r w:rsidRPr="00C022D7">
              <w:rPr>
                <w:rFonts w:ascii="Arial" w:hAnsi="Arial" w:cs="Arial"/>
                <w:iCs/>
                <w:sz w:val="24"/>
                <w:szCs w:val="24"/>
              </w:rPr>
              <w:t>0.8</w:t>
            </w:r>
          </w:p>
        </w:tc>
      </w:tr>
    </w:tbl>
    <w:p w:rsidR="00C022D7" w:rsidP="00C022D7" w:rsidRDefault="00C022D7" w14:paraId="260205B1" w14:textId="77777777">
      <w:pPr>
        <w:spacing w:line="360" w:lineRule="auto"/>
        <w:jc w:val="both"/>
        <w:rPr>
          <w:rFonts w:ascii="Arial" w:hAnsi="Arial" w:cs="Arial"/>
          <w:sz w:val="24"/>
          <w:szCs w:val="24"/>
        </w:rPr>
      </w:pPr>
    </w:p>
    <w:p w:rsidR="00C022D7" w:rsidP="00C022D7" w:rsidRDefault="00C022D7" w14:paraId="7261CD10" w14:textId="2D04E529">
      <w:pPr>
        <w:spacing w:line="360" w:lineRule="auto"/>
        <w:jc w:val="center"/>
        <w:rPr>
          <w:rFonts w:ascii="Arial" w:hAnsi="Arial" w:cs="Arial"/>
          <w:sz w:val="24"/>
          <w:szCs w:val="24"/>
        </w:rPr>
      </w:pPr>
      <w:r w:rsidRPr="00C022D7">
        <w:rPr>
          <w:rFonts w:ascii="Arial" w:hAnsi="Arial" w:cs="Arial"/>
          <w:b/>
          <w:bCs/>
          <w:sz w:val="24"/>
          <w:szCs w:val="24"/>
        </w:rPr>
        <w:t>Tabla 1.</w:t>
      </w:r>
      <w:r w:rsidRPr="00C022D7">
        <w:rPr>
          <w:rFonts w:ascii="Arial" w:hAnsi="Arial" w:cs="Arial"/>
          <w:sz w:val="24"/>
          <w:szCs w:val="24"/>
        </w:rPr>
        <w:t xml:space="preserve"> Formulación de las muestras de yeso.</w:t>
      </w:r>
    </w:p>
    <w:p w:rsidRPr="00C022D7" w:rsidR="00B95058" w:rsidP="00C022D7" w:rsidRDefault="00B95058" w14:paraId="6AC1DEC7" w14:textId="77777777">
      <w:pPr>
        <w:spacing w:line="360" w:lineRule="auto"/>
        <w:jc w:val="center"/>
        <w:rPr>
          <w:rFonts w:ascii="Arial" w:hAnsi="Arial" w:cs="Arial"/>
          <w:sz w:val="24"/>
          <w:szCs w:val="24"/>
        </w:rPr>
      </w:pPr>
    </w:p>
    <w:p w:rsidRPr="00053593" w:rsidR="00C022D7" w:rsidP="2AB3C4C2" w:rsidRDefault="00C022D7" w14:paraId="36A10B9A" w14:textId="3CD615E9">
      <w:pPr>
        <w:spacing w:line="360" w:lineRule="auto"/>
        <w:jc w:val="both"/>
        <w:rPr>
          <w:rFonts w:ascii="Arial" w:hAnsi="Arial" w:cs="Arial"/>
          <w:sz w:val="24"/>
          <w:szCs w:val="24"/>
          <w:lang w:val="es-ES"/>
        </w:rPr>
      </w:pPr>
      <w:r w:rsidRPr="2AB3C4C2" w:rsidR="2AB3C4C2">
        <w:rPr>
          <w:rFonts w:ascii="Arial" w:hAnsi="Arial" w:cs="Arial"/>
          <w:sz w:val="24"/>
          <w:szCs w:val="24"/>
          <w:lang w:val="es-ES"/>
        </w:rPr>
        <w:t xml:space="preserve">Pruebas </w:t>
      </w:r>
      <w:r w:rsidRPr="2AB3C4C2" w:rsidR="2AB3C4C2">
        <w:rPr>
          <w:rFonts w:ascii="Arial" w:hAnsi="Arial" w:cs="Arial"/>
          <w:sz w:val="24"/>
          <w:szCs w:val="24"/>
          <w:lang w:val="es-ES"/>
        </w:rPr>
        <w:t>fotocatalíticas</w:t>
      </w:r>
    </w:p>
    <w:p w:rsidR="00C022D7" w:rsidP="2AB3C4C2" w:rsidRDefault="00C022D7" w14:paraId="49BA7AEB" w14:textId="77777777">
      <w:pPr>
        <w:spacing w:line="360" w:lineRule="auto"/>
        <w:jc w:val="both"/>
        <w:rPr>
          <w:rFonts w:ascii="Arial" w:hAnsi="Arial" w:cs="Arial"/>
          <w:sz w:val="24"/>
          <w:szCs w:val="24"/>
          <w:lang w:val="es-ES"/>
        </w:rPr>
      </w:pPr>
      <w:r w:rsidRPr="2AB3C4C2" w:rsidR="2AB3C4C2">
        <w:rPr>
          <w:rFonts w:ascii="Arial" w:hAnsi="Arial" w:cs="Arial"/>
          <w:sz w:val="24"/>
          <w:szCs w:val="24"/>
          <w:lang w:val="es-ES"/>
        </w:rPr>
        <w:t xml:space="preserve">Las pruebas </w:t>
      </w:r>
      <w:r w:rsidRPr="2AB3C4C2" w:rsidR="2AB3C4C2">
        <w:rPr>
          <w:rFonts w:ascii="Arial" w:hAnsi="Arial" w:cs="Arial"/>
          <w:sz w:val="24"/>
          <w:szCs w:val="24"/>
          <w:lang w:val="es-ES"/>
        </w:rPr>
        <w:t>fotocatalíticas</w:t>
      </w:r>
      <w:r w:rsidRPr="2AB3C4C2" w:rsidR="2AB3C4C2">
        <w:rPr>
          <w:rFonts w:ascii="Arial" w:hAnsi="Arial" w:cs="Arial"/>
          <w:sz w:val="24"/>
          <w:szCs w:val="24"/>
          <w:lang w:val="es-ES"/>
        </w:rPr>
        <w:t xml:space="preserve"> se evaluaron en la reacción de foto oxidación de NO, para ello se empleó un sistema de purificación de aire diseñado con base en la Norma ISO 22197-1. Este sistema está conformado por un rector </w:t>
      </w:r>
      <w:r w:rsidRPr="2AB3C4C2" w:rsidR="2AB3C4C2">
        <w:rPr>
          <w:rFonts w:ascii="Arial" w:hAnsi="Arial" w:cs="Arial"/>
          <w:sz w:val="24"/>
          <w:szCs w:val="24"/>
          <w:lang w:val="es-ES"/>
        </w:rPr>
        <w:t>fotocatalítico</w:t>
      </w:r>
      <w:r w:rsidRPr="2AB3C4C2" w:rsidR="2AB3C4C2">
        <w:rPr>
          <w:rFonts w:ascii="Arial" w:hAnsi="Arial" w:cs="Arial"/>
          <w:sz w:val="24"/>
          <w:szCs w:val="24"/>
          <w:lang w:val="es-ES"/>
        </w:rPr>
        <w:t xml:space="preserve"> que alberga la muestra, un cilindro de gas de óxido nítrico (NO), un cilindro de aire cero, un calibrador de gases y un analizador de </w:t>
      </w:r>
      <w:r w:rsidRPr="2AB3C4C2" w:rsidR="2AB3C4C2">
        <w:rPr>
          <w:rFonts w:ascii="Arial" w:hAnsi="Arial" w:cs="Arial"/>
          <w:sz w:val="24"/>
          <w:szCs w:val="24"/>
          <w:lang w:val="es-ES"/>
        </w:rPr>
        <w:t>NO</w:t>
      </w:r>
      <w:r w:rsidRPr="2AB3C4C2" w:rsidR="2AB3C4C2">
        <w:rPr>
          <w:rFonts w:ascii="Arial" w:hAnsi="Arial" w:cs="Arial"/>
          <w:sz w:val="24"/>
          <w:szCs w:val="24"/>
          <w:vertAlign w:val="subscript"/>
          <w:lang w:val="es-ES"/>
        </w:rPr>
        <w:t>x</w:t>
      </w:r>
      <w:r w:rsidRPr="2AB3C4C2" w:rsidR="2AB3C4C2">
        <w:rPr>
          <w:rFonts w:ascii="Arial" w:hAnsi="Arial" w:cs="Arial"/>
          <w:sz w:val="24"/>
          <w:szCs w:val="24"/>
          <w:vertAlign w:val="subscript"/>
          <w:lang w:val="es-ES"/>
        </w:rPr>
        <w:t xml:space="preserve"> </w:t>
      </w:r>
      <w:r w:rsidRPr="2AB3C4C2" w:rsidR="2AB3C4C2">
        <w:rPr>
          <w:rFonts w:ascii="Arial" w:hAnsi="Arial" w:cs="Arial"/>
          <w:sz w:val="24"/>
          <w:szCs w:val="24"/>
          <w:lang w:val="es-ES"/>
        </w:rPr>
        <w:t>como se puede observar en la Figura 1.</w:t>
      </w:r>
    </w:p>
    <w:p w:rsidRPr="00C022D7" w:rsidR="00EB1E25" w:rsidP="00C022D7" w:rsidRDefault="00EB1E25" w14:paraId="267B1FFA" w14:textId="77777777">
      <w:pPr>
        <w:spacing w:line="360" w:lineRule="auto"/>
        <w:jc w:val="both"/>
        <w:rPr>
          <w:rFonts w:ascii="Arial" w:hAnsi="Arial" w:cs="Arial"/>
          <w:sz w:val="24"/>
          <w:szCs w:val="24"/>
        </w:rPr>
      </w:pPr>
    </w:p>
    <w:p w:rsidRPr="00C022D7" w:rsidR="00C022D7" w:rsidP="00C022D7" w:rsidRDefault="00C022D7" w14:paraId="120A5BB8" w14:textId="77777777">
      <w:pPr>
        <w:spacing w:line="360" w:lineRule="auto"/>
        <w:jc w:val="both"/>
        <w:rPr>
          <w:rFonts w:ascii="Arial" w:hAnsi="Arial" w:cs="Arial"/>
          <w:sz w:val="24"/>
          <w:szCs w:val="24"/>
        </w:rPr>
      </w:pPr>
      <w:r w:rsidRPr="00C022D7">
        <w:rPr>
          <w:rFonts w:ascii="Arial" w:hAnsi="Arial" w:cs="Arial"/>
          <w:noProof/>
          <w:sz w:val="24"/>
          <w:szCs w:val="24"/>
        </w:rPr>
        <w:drawing>
          <wp:inline distT="0" distB="0" distL="0" distR="0" wp14:anchorId="73728419" wp14:editId="0B42B982">
            <wp:extent cx="2646563" cy="3960000"/>
            <wp:effectExtent l="0" t="0" r="1905" b="2540"/>
            <wp:docPr id="21171530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6563" cy="3960000"/>
                    </a:xfrm>
                    <a:prstGeom prst="rect">
                      <a:avLst/>
                    </a:prstGeom>
                    <a:noFill/>
                  </pic:spPr>
                </pic:pic>
              </a:graphicData>
            </a:graphic>
          </wp:inline>
        </w:drawing>
      </w:r>
    </w:p>
    <w:p w:rsidRPr="00E117CF" w:rsidR="00C022D7" w:rsidP="2AB3C4C2" w:rsidRDefault="00C022D7" w14:paraId="326D6D39" w14:textId="77777777">
      <w:pPr>
        <w:spacing w:line="360" w:lineRule="auto"/>
        <w:jc w:val="center"/>
        <w:rPr>
          <w:rFonts w:ascii="Arial" w:hAnsi="Arial" w:cs="Arial"/>
          <w:sz w:val="22"/>
          <w:szCs w:val="22"/>
          <w:lang w:val="es-ES"/>
        </w:rPr>
      </w:pPr>
      <w:r w:rsidRPr="2AB3C4C2" w:rsidR="2AB3C4C2">
        <w:rPr>
          <w:rFonts w:ascii="Arial" w:hAnsi="Arial" w:cs="Arial"/>
          <w:b w:val="1"/>
          <w:bCs w:val="1"/>
          <w:sz w:val="22"/>
          <w:szCs w:val="22"/>
          <w:lang w:val="es-ES"/>
        </w:rPr>
        <w:t>Figura 1.</w:t>
      </w:r>
      <w:r w:rsidRPr="2AB3C4C2" w:rsidR="2AB3C4C2">
        <w:rPr>
          <w:rFonts w:ascii="Arial" w:hAnsi="Arial" w:cs="Arial"/>
          <w:sz w:val="22"/>
          <w:szCs w:val="22"/>
          <w:lang w:val="es-ES"/>
        </w:rPr>
        <w:t xml:space="preserve"> a) Sistema de purificación de aire para la eliminación de NO y b) parte interno del reactor </w:t>
      </w:r>
      <w:r w:rsidRPr="2AB3C4C2" w:rsidR="2AB3C4C2">
        <w:rPr>
          <w:rFonts w:ascii="Arial" w:hAnsi="Arial" w:cs="Arial"/>
          <w:sz w:val="22"/>
          <w:szCs w:val="22"/>
          <w:lang w:val="es-ES"/>
        </w:rPr>
        <w:t>fotocatalítico</w:t>
      </w:r>
      <w:r w:rsidRPr="2AB3C4C2" w:rsidR="2AB3C4C2">
        <w:rPr>
          <w:rFonts w:ascii="Arial" w:hAnsi="Arial" w:cs="Arial"/>
          <w:sz w:val="22"/>
          <w:szCs w:val="22"/>
          <w:lang w:val="es-ES"/>
        </w:rPr>
        <w:t>.</w:t>
      </w:r>
    </w:p>
    <w:p w:rsidRPr="00C022D7" w:rsidR="00C022D7" w:rsidP="00C022D7" w:rsidRDefault="00C022D7" w14:paraId="2B03F335" w14:textId="77777777">
      <w:pPr>
        <w:spacing w:line="360" w:lineRule="auto"/>
        <w:jc w:val="both"/>
        <w:rPr>
          <w:rFonts w:ascii="Arial" w:hAnsi="Arial" w:cs="Arial"/>
          <w:sz w:val="24"/>
          <w:szCs w:val="24"/>
        </w:rPr>
      </w:pPr>
    </w:p>
    <w:p w:rsidR="00C022D7" w:rsidP="2AB3C4C2" w:rsidRDefault="00C022D7" w14:paraId="51960761" w14:textId="77777777">
      <w:pPr>
        <w:spacing w:line="360" w:lineRule="auto"/>
        <w:ind w:firstLine="432"/>
        <w:jc w:val="both"/>
        <w:rPr>
          <w:rFonts w:ascii="Arial" w:hAnsi="Arial" w:cs="Arial"/>
          <w:sz w:val="24"/>
          <w:szCs w:val="24"/>
          <w:lang w:val="es-ES"/>
        </w:rPr>
      </w:pPr>
      <w:r w:rsidRPr="2AB3C4C2" w:rsidR="2AB3C4C2">
        <w:rPr>
          <w:rFonts w:ascii="Arial" w:hAnsi="Arial" w:cs="Arial"/>
          <w:sz w:val="24"/>
          <w:szCs w:val="24"/>
          <w:lang w:val="es-ES"/>
        </w:rPr>
        <w:t xml:space="preserve">En los experimentos </w:t>
      </w:r>
      <w:r w:rsidRPr="2AB3C4C2" w:rsidR="2AB3C4C2">
        <w:rPr>
          <w:rFonts w:ascii="Arial" w:hAnsi="Arial" w:cs="Arial"/>
          <w:sz w:val="24"/>
          <w:szCs w:val="24"/>
          <w:lang w:val="es-ES"/>
        </w:rPr>
        <w:t>fotocatalíticos</w:t>
      </w:r>
      <w:r w:rsidRPr="2AB3C4C2" w:rsidR="2AB3C4C2">
        <w:rPr>
          <w:rFonts w:ascii="Arial" w:hAnsi="Arial" w:cs="Arial"/>
          <w:sz w:val="24"/>
          <w:szCs w:val="24"/>
          <w:lang w:val="es-ES"/>
        </w:rPr>
        <w:t xml:space="preserve"> se empleó como fuente de iluminación una lámpara de luz UV-A de la marca </w:t>
      </w:r>
      <w:r w:rsidRPr="2AB3C4C2" w:rsidR="2AB3C4C2">
        <w:rPr>
          <w:rFonts w:ascii="Arial" w:hAnsi="Arial" w:cs="Arial"/>
          <w:sz w:val="24"/>
          <w:szCs w:val="24"/>
          <w:lang w:val="es-ES"/>
        </w:rPr>
        <w:t>TecnoLite</w:t>
      </w:r>
      <w:r w:rsidRPr="2AB3C4C2" w:rsidR="2AB3C4C2">
        <w:rPr>
          <w:rFonts w:ascii="Arial" w:hAnsi="Arial" w:cs="Arial"/>
          <w:sz w:val="24"/>
          <w:szCs w:val="24"/>
          <w:lang w:val="es-ES"/>
        </w:rPr>
        <w:t xml:space="preserve"> la cual tiene una potencia de 20 W y una longitud de onda máxima de 365 nm como se aprecia en el espectro presentado en la Figura 2. Las mediciones </w:t>
      </w:r>
      <w:r w:rsidRPr="2AB3C4C2" w:rsidR="2AB3C4C2">
        <w:rPr>
          <w:rFonts w:ascii="Arial" w:hAnsi="Arial" w:cs="Arial"/>
          <w:sz w:val="24"/>
          <w:szCs w:val="24"/>
          <w:lang w:val="es-ES"/>
        </w:rPr>
        <w:t>fotocatalíticas</w:t>
      </w:r>
      <w:r w:rsidRPr="2AB3C4C2" w:rsidR="2AB3C4C2">
        <w:rPr>
          <w:rFonts w:ascii="Arial" w:hAnsi="Arial" w:cs="Arial"/>
          <w:sz w:val="24"/>
          <w:szCs w:val="24"/>
          <w:lang w:val="es-ES"/>
        </w:rPr>
        <w:t xml:space="preserve"> se realizaron empleando una concentración inicial de 1 ppm de NO. Una vez que esta concentración fue estable en el reactor </w:t>
      </w:r>
      <w:r w:rsidRPr="2AB3C4C2" w:rsidR="2AB3C4C2">
        <w:rPr>
          <w:rFonts w:ascii="Arial" w:hAnsi="Arial" w:cs="Arial"/>
          <w:sz w:val="24"/>
          <w:szCs w:val="24"/>
          <w:lang w:val="es-ES"/>
        </w:rPr>
        <w:t>fotocatalítico</w:t>
      </w:r>
      <w:r w:rsidRPr="2AB3C4C2" w:rsidR="2AB3C4C2">
        <w:rPr>
          <w:rFonts w:ascii="Arial" w:hAnsi="Arial" w:cs="Arial"/>
          <w:sz w:val="24"/>
          <w:szCs w:val="24"/>
          <w:lang w:val="es-ES"/>
        </w:rPr>
        <w:t xml:space="preserve">, se procedió a encender la lámpara iniciando la reacción </w:t>
      </w:r>
      <w:r w:rsidRPr="2AB3C4C2" w:rsidR="2AB3C4C2">
        <w:rPr>
          <w:rFonts w:ascii="Arial" w:hAnsi="Arial" w:cs="Arial"/>
          <w:sz w:val="24"/>
          <w:szCs w:val="24"/>
          <w:lang w:val="es-ES"/>
        </w:rPr>
        <w:t>fotocatalítica</w:t>
      </w:r>
      <w:r w:rsidRPr="2AB3C4C2" w:rsidR="2AB3C4C2">
        <w:rPr>
          <w:rFonts w:ascii="Arial" w:hAnsi="Arial" w:cs="Arial"/>
          <w:sz w:val="24"/>
          <w:szCs w:val="24"/>
          <w:lang w:val="es-ES"/>
        </w:rPr>
        <w:t xml:space="preserve">. La concentración de NO a la entrada y salida del reactor fue medida por el analizador de </w:t>
      </w:r>
      <w:r w:rsidRPr="2AB3C4C2" w:rsidR="2AB3C4C2">
        <w:rPr>
          <w:rFonts w:ascii="Arial" w:hAnsi="Arial" w:cs="Arial"/>
          <w:sz w:val="24"/>
          <w:szCs w:val="24"/>
          <w:lang w:val="es-ES"/>
        </w:rPr>
        <w:t>NO</w:t>
      </w:r>
      <w:r w:rsidRPr="2AB3C4C2" w:rsidR="2AB3C4C2">
        <w:rPr>
          <w:rFonts w:ascii="Arial" w:hAnsi="Arial" w:cs="Arial"/>
          <w:sz w:val="24"/>
          <w:szCs w:val="24"/>
          <w:vertAlign w:val="subscript"/>
          <w:lang w:val="es-ES"/>
        </w:rPr>
        <w:t>x</w:t>
      </w:r>
      <w:r w:rsidRPr="2AB3C4C2" w:rsidR="2AB3C4C2">
        <w:rPr>
          <w:rFonts w:ascii="Arial" w:hAnsi="Arial" w:cs="Arial"/>
          <w:sz w:val="24"/>
          <w:szCs w:val="24"/>
          <w:vertAlign w:val="subscript"/>
          <w:lang w:val="es-ES"/>
        </w:rPr>
        <w:t xml:space="preserve"> </w:t>
      </w:r>
      <w:r w:rsidRPr="2AB3C4C2" w:rsidR="2AB3C4C2">
        <w:rPr>
          <w:rFonts w:ascii="Arial" w:hAnsi="Arial" w:cs="Arial"/>
          <w:sz w:val="24"/>
          <w:szCs w:val="24"/>
          <w:lang w:val="es-ES"/>
        </w:rPr>
        <w:t xml:space="preserve">marca </w:t>
      </w:r>
      <w:r w:rsidRPr="2AB3C4C2" w:rsidR="2AB3C4C2">
        <w:rPr>
          <w:rFonts w:ascii="Arial" w:hAnsi="Arial" w:cs="Arial"/>
          <w:sz w:val="24"/>
          <w:szCs w:val="24"/>
          <w:lang w:val="es-ES"/>
        </w:rPr>
        <w:t>EcoPhysics</w:t>
      </w:r>
      <w:r w:rsidRPr="2AB3C4C2" w:rsidR="2AB3C4C2">
        <w:rPr>
          <w:rFonts w:ascii="Arial" w:hAnsi="Arial" w:cs="Arial"/>
          <w:sz w:val="24"/>
          <w:szCs w:val="24"/>
          <w:lang w:val="es-ES"/>
        </w:rPr>
        <w:t xml:space="preserve"> CLD88p. </w:t>
      </w:r>
    </w:p>
    <w:p w:rsidRPr="00C022D7" w:rsidR="00EB1E25" w:rsidP="00053593" w:rsidRDefault="00EB1E25" w14:paraId="30269FBA" w14:textId="77777777">
      <w:pPr>
        <w:spacing w:line="360" w:lineRule="auto"/>
        <w:ind w:firstLine="432"/>
        <w:jc w:val="both"/>
        <w:rPr>
          <w:rFonts w:ascii="Arial" w:hAnsi="Arial" w:cs="Arial"/>
          <w:sz w:val="24"/>
          <w:szCs w:val="24"/>
        </w:rPr>
      </w:pPr>
    </w:p>
    <w:p w:rsidRPr="00C022D7" w:rsidR="00C022D7" w:rsidP="00C022D7" w:rsidRDefault="00C022D7" w14:paraId="03A5E6E3" w14:textId="77777777">
      <w:pPr>
        <w:spacing w:line="360" w:lineRule="auto"/>
        <w:jc w:val="both"/>
        <w:rPr>
          <w:rFonts w:ascii="Arial" w:hAnsi="Arial" w:cs="Arial"/>
          <w:sz w:val="24"/>
          <w:szCs w:val="24"/>
        </w:rPr>
      </w:pPr>
      <w:r w:rsidRPr="00C022D7">
        <w:rPr>
          <w:rFonts w:ascii="Arial" w:hAnsi="Arial" w:cs="Arial"/>
          <w:noProof/>
          <w:sz w:val="24"/>
          <w:szCs w:val="24"/>
        </w:rPr>
        <w:drawing>
          <wp:inline distT="0" distB="0" distL="0" distR="0" wp14:anchorId="19D35E9C" wp14:editId="5CE14ADB">
            <wp:extent cx="2977883" cy="2270760"/>
            <wp:effectExtent l="0" t="0" r="0" b="0"/>
            <wp:docPr id="1490776419" name="Imagen 5"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76419" name="Imagen 5" descr="Gráfico, Histograma&#10;&#10;Descripción generada automáticament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010" t="8837" r="10794" b="3554"/>
                    <a:stretch/>
                  </pic:blipFill>
                  <pic:spPr bwMode="auto">
                    <a:xfrm>
                      <a:off x="0" y="0"/>
                      <a:ext cx="2982083" cy="2273962"/>
                    </a:xfrm>
                    <a:prstGeom prst="rect">
                      <a:avLst/>
                    </a:prstGeom>
                    <a:noFill/>
                    <a:ln>
                      <a:noFill/>
                    </a:ln>
                    <a:extLst>
                      <a:ext uri="{53640926-AAD7-44D8-BBD7-CCE9431645EC}">
                        <a14:shadowObscured xmlns:a14="http://schemas.microsoft.com/office/drawing/2010/main"/>
                      </a:ext>
                    </a:extLst>
                  </pic:spPr>
                </pic:pic>
              </a:graphicData>
            </a:graphic>
          </wp:inline>
        </w:drawing>
      </w:r>
    </w:p>
    <w:p w:rsidRPr="00E117CF" w:rsidR="00C022D7" w:rsidP="2AB3C4C2" w:rsidRDefault="00C022D7" w14:paraId="0E97535B" w14:textId="77777777">
      <w:pPr>
        <w:spacing w:line="360" w:lineRule="auto"/>
        <w:jc w:val="center"/>
        <w:rPr>
          <w:rFonts w:ascii="Arial" w:hAnsi="Arial" w:cs="Arial"/>
          <w:sz w:val="22"/>
          <w:szCs w:val="22"/>
          <w:lang w:val="es-ES"/>
        </w:rPr>
      </w:pPr>
      <w:r w:rsidRPr="2AB3C4C2" w:rsidR="2AB3C4C2">
        <w:rPr>
          <w:rFonts w:ascii="Arial" w:hAnsi="Arial" w:cs="Arial"/>
          <w:b w:val="1"/>
          <w:bCs w:val="1"/>
          <w:sz w:val="22"/>
          <w:szCs w:val="22"/>
          <w:lang w:val="es-ES"/>
        </w:rPr>
        <w:t>Figura 2.</w:t>
      </w:r>
      <w:r w:rsidRPr="2AB3C4C2" w:rsidR="2AB3C4C2">
        <w:rPr>
          <w:rFonts w:ascii="Arial" w:hAnsi="Arial" w:cs="Arial"/>
          <w:sz w:val="22"/>
          <w:szCs w:val="22"/>
          <w:lang w:val="es-ES"/>
        </w:rPr>
        <w:t xml:space="preserve"> Espectro de lámpara </w:t>
      </w:r>
      <w:r w:rsidRPr="2AB3C4C2" w:rsidR="2AB3C4C2">
        <w:rPr>
          <w:rFonts w:ascii="Arial" w:hAnsi="Arial" w:cs="Arial"/>
          <w:sz w:val="22"/>
          <w:szCs w:val="22"/>
          <w:lang w:val="es-ES"/>
        </w:rPr>
        <w:t>TecnoLite</w:t>
      </w:r>
      <w:r w:rsidRPr="2AB3C4C2" w:rsidR="2AB3C4C2">
        <w:rPr>
          <w:rFonts w:ascii="Arial" w:hAnsi="Arial" w:cs="Arial"/>
          <w:sz w:val="22"/>
          <w:szCs w:val="22"/>
          <w:lang w:val="es-ES"/>
        </w:rPr>
        <w:t>.</w:t>
      </w:r>
    </w:p>
    <w:p w:rsidR="00C022D7" w:rsidP="00C022D7" w:rsidRDefault="00C022D7" w14:paraId="5E658912" w14:textId="77777777">
      <w:pPr>
        <w:spacing w:line="360" w:lineRule="auto"/>
        <w:jc w:val="both"/>
        <w:rPr>
          <w:rFonts w:ascii="Arial" w:hAnsi="Arial" w:cs="Arial"/>
          <w:sz w:val="24"/>
          <w:szCs w:val="24"/>
        </w:rPr>
      </w:pPr>
    </w:p>
    <w:p w:rsidRPr="00C022D7" w:rsidR="00EB1E25" w:rsidP="00C022D7" w:rsidRDefault="00EB1E25" w14:paraId="33A340C4" w14:textId="77777777">
      <w:pPr>
        <w:spacing w:line="360" w:lineRule="auto"/>
        <w:jc w:val="both"/>
        <w:rPr>
          <w:rFonts w:ascii="Arial" w:hAnsi="Arial" w:cs="Arial"/>
          <w:sz w:val="24"/>
          <w:szCs w:val="24"/>
        </w:rPr>
      </w:pPr>
    </w:p>
    <w:p w:rsidRPr="00C022D7" w:rsidR="00C022D7" w:rsidP="2AB3C4C2" w:rsidRDefault="00C022D7" w14:paraId="78486E86" w14:textId="77777777">
      <w:pPr>
        <w:spacing w:line="360" w:lineRule="auto"/>
        <w:jc w:val="both"/>
        <w:rPr>
          <w:rFonts w:ascii="Arial" w:hAnsi="Arial" w:cs="Arial"/>
          <w:sz w:val="24"/>
          <w:szCs w:val="24"/>
          <w:lang w:val="es-ES"/>
        </w:rPr>
      </w:pPr>
      <w:r w:rsidRPr="2AB3C4C2" w:rsidR="2AB3C4C2">
        <w:rPr>
          <w:rFonts w:ascii="Arial" w:hAnsi="Arial" w:cs="Arial"/>
          <w:sz w:val="24"/>
          <w:szCs w:val="24"/>
          <w:lang w:val="es-ES"/>
        </w:rPr>
        <w:t xml:space="preserve">Para calcular el porcentaje de conversión de </w:t>
      </w:r>
      <w:r w:rsidRPr="2AB3C4C2" w:rsidR="2AB3C4C2">
        <w:rPr>
          <w:rFonts w:ascii="Arial" w:hAnsi="Arial" w:cs="Arial"/>
          <w:sz w:val="24"/>
          <w:szCs w:val="24"/>
          <w:lang w:val="es-ES"/>
        </w:rPr>
        <w:t>NOx</w:t>
      </w:r>
      <w:r w:rsidRPr="2AB3C4C2" w:rsidR="2AB3C4C2">
        <w:rPr>
          <w:rFonts w:ascii="Arial" w:hAnsi="Arial" w:cs="Arial"/>
          <w:sz w:val="24"/>
          <w:szCs w:val="24"/>
          <w:lang w:val="es-ES"/>
        </w:rPr>
        <w:t xml:space="preserve"> se utilizó la fórmula:</w:t>
      </w:r>
    </w:p>
    <w:p w:rsidRPr="00C022D7" w:rsidR="00C022D7" w:rsidP="00C022D7" w:rsidRDefault="00C022D7" w14:paraId="0DC4F59B" w14:textId="77777777">
      <w:pPr>
        <w:spacing w:line="360" w:lineRule="auto"/>
        <w:jc w:val="both"/>
        <w:rPr>
          <w:rFonts w:ascii="Arial" w:hAnsi="Arial" w:cs="Arial"/>
          <w:sz w:val="24"/>
          <w:szCs w:val="24"/>
        </w:rPr>
      </w:pPr>
    </w:p>
    <w:p w:rsidRPr="00C022D7" w:rsidR="00C022D7" w:rsidP="00C022D7" w:rsidRDefault="00C022D7" w14:paraId="580EF693" w14:textId="77777777">
      <w:pPr>
        <w:spacing w:line="360" w:lineRule="auto"/>
        <w:jc w:val="both"/>
        <w:rPr>
          <w:rFonts w:ascii="Arial" w:hAnsi="Arial" w:cs="Arial"/>
          <w:sz w:val="24"/>
          <w:szCs w:val="24"/>
        </w:rPr>
      </w:pPr>
      <m:oMathPara>
        <m:oMathParaPr>
          <m:jc m:val="center"/>
        </m:oMathParaPr>
        <m:oMath>
          <m:r>
            <w:rPr>
              <w:rFonts w:ascii="Cambria Math" w:hAnsi="Cambria Math" w:cs="Arial"/>
              <w:sz w:val="24"/>
              <w:szCs w:val="24"/>
            </w:rPr>
            <m:t>Conversion</m:t>
          </m:r>
          <m:r>
            <m:rPr>
              <m:sty m:val="p"/>
            </m:rPr>
            <w:rPr>
              <w:rFonts w:ascii="Cambria Math" w:hAnsi="Cambria Math" w:cs="Arial"/>
              <w:sz w:val="24"/>
              <w:szCs w:val="24"/>
            </w:rPr>
            <m:t xml:space="preserve"> </m:t>
          </m:r>
          <m:r>
            <w:rPr>
              <w:rFonts w:ascii="Cambria Math" w:hAnsi="Cambria Math" w:cs="Arial"/>
              <w:sz w:val="24"/>
              <w:szCs w:val="24"/>
            </w:rPr>
            <m:t>de</m:t>
          </m:r>
          <m:r>
            <m:rPr>
              <m:sty m:val="p"/>
            </m:rPr>
            <w:rPr>
              <w:rFonts w:ascii="Cambria Math" w:hAnsi="Cambria Math" w:cs="Arial"/>
              <w:sz w:val="24"/>
              <w:szCs w:val="24"/>
            </w:rPr>
            <m:t xml:space="preserve"> </m:t>
          </m:r>
          <m:r>
            <w:rPr>
              <w:rFonts w:ascii="Cambria Math" w:hAnsi="Cambria Math" w:cs="Arial"/>
              <w:sz w:val="24"/>
              <w:szCs w:val="24"/>
            </w:rPr>
            <m:t>NO</m:t>
          </m:r>
          <m:r>
            <m:rPr>
              <m:sty m:val="p"/>
            </m:rPr>
            <w:rPr>
              <w:rFonts w:ascii="Cambria Math" w:hAnsi="Cambria Math" w:cs="Arial"/>
              <w:sz w:val="24"/>
              <w:szCs w:val="24"/>
            </w:rPr>
            <m:t xml:space="preserve"> </m:t>
          </m:r>
          <m:d>
            <m:dPr>
              <m:ctrlPr>
                <w:rPr>
                  <w:rFonts w:ascii="Cambria Math" w:hAnsi="Cambria Math" w:cs="Arial"/>
                  <w:sz w:val="24"/>
                  <w:szCs w:val="24"/>
                </w:rPr>
              </m:ctrlPr>
            </m:dPr>
            <m:e>
              <m:r>
                <m:rPr>
                  <m:sty m:val="p"/>
                </m:rPr>
                <w:rPr>
                  <w:rFonts w:ascii="Cambria Math" w:hAnsi="Cambria Math" w:cs="Arial"/>
                  <w:sz w:val="24"/>
                  <w:szCs w:val="24"/>
                </w:rPr>
                <m:t>%</m:t>
              </m:r>
            </m:e>
          </m:d>
          <m:r>
            <m:rPr>
              <m:sty m:val="p"/>
            </m:rPr>
            <w:rPr>
              <w:rFonts w:ascii="Cambria Math" w:hAnsi="Cambria Math" w:cs="Arial"/>
              <w:sz w:val="24"/>
              <w:szCs w:val="24"/>
            </w:rPr>
            <m:t xml:space="preserve">= </m:t>
          </m:r>
          <m:f>
            <m:fPr>
              <m:ctrlPr>
                <w:rPr>
                  <w:rFonts w:ascii="Cambria Math" w:hAnsi="Cambria Math" w:cs="Arial"/>
                  <w:sz w:val="24"/>
                  <w:szCs w:val="24"/>
                </w:rPr>
              </m:ctrlPr>
            </m:fPr>
            <m:num>
              <m:sSub>
                <m:sSubPr>
                  <m:ctrlPr>
                    <w:rPr>
                      <w:rFonts w:ascii="Cambria Math" w:hAnsi="Cambria Math" w:cs="Arial"/>
                      <w:sz w:val="24"/>
                      <w:szCs w:val="24"/>
                    </w:rPr>
                  </m:ctrlPr>
                </m:sSubPr>
                <m:e>
                  <m:r>
                    <w:rPr>
                      <w:rFonts w:ascii="Cambria Math" w:hAnsi="Cambria Math" w:cs="Arial"/>
                      <w:sz w:val="24"/>
                      <w:szCs w:val="24"/>
                    </w:rPr>
                    <m:t>NO</m:t>
                  </m:r>
                </m:e>
                <m:sub>
                  <m:r>
                    <w:rPr>
                      <w:rFonts w:ascii="Cambria Math" w:hAnsi="Cambria Math" w:cs="Arial"/>
                      <w:sz w:val="24"/>
                      <w:szCs w:val="24"/>
                    </w:rPr>
                    <m:t>i</m:t>
                  </m:r>
                </m:sub>
              </m:sSub>
              <m:r>
                <m:rPr>
                  <m:sty m:val="p"/>
                </m:rPr>
                <w:rPr>
                  <w:rFonts w:ascii="Cambria Math" w:hAnsi="Cambria Math" w:cs="Arial"/>
                  <w:sz w:val="24"/>
                  <w:szCs w:val="24"/>
                </w:rPr>
                <m:t>-</m:t>
              </m:r>
              <m:sSub>
                <m:sSubPr>
                  <m:ctrlPr>
                    <w:rPr>
                      <w:rFonts w:ascii="Cambria Math" w:hAnsi="Cambria Math" w:cs="Arial"/>
                      <w:sz w:val="24"/>
                      <w:szCs w:val="24"/>
                    </w:rPr>
                  </m:ctrlPr>
                </m:sSubPr>
                <m:e>
                  <m:r>
                    <w:rPr>
                      <w:rFonts w:ascii="Cambria Math" w:hAnsi="Cambria Math" w:cs="Arial"/>
                      <w:sz w:val="24"/>
                      <w:szCs w:val="24"/>
                    </w:rPr>
                    <m:t>NO</m:t>
                  </m:r>
                </m:e>
                <m:sub>
                  <m:r>
                    <w:rPr>
                      <w:rFonts w:ascii="Cambria Math" w:hAnsi="Cambria Math" w:cs="Arial"/>
                      <w:sz w:val="24"/>
                      <w:szCs w:val="24"/>
                    </w:rPr>
                    <m:t>f</m:t>
                  </m:r>
                </m:sub>
              </m:sSub>
            </m:num>
            <m:den>
              <m:sSub>
                <m:sSubPr>
                  <m:ctrlPr>
                    <w:rPr>
                      <w:rFonts w:ascii="Cambria Math" w:hAnsi="Cambria Math" w:cs="Arial"/>
                      <w:sz w:val="24"/>
                      <w:szCs w:val="24"/>
                    </w:rPr>
                  </m:ctrlPr>
                </m:sSubPr>
                <m:e>
                  <m:r>
                    <w:rPr>
                      <w:rFonts w:ascii="Cambria Math" w:hAnsi="Cambria Math" w:cs="Arial"/>
                      <w:sz w:val="24"/>
                      <w:szCs w:val="24"/>
                    </w:rPr>
                    <m:t>NO</m:t>
                  </m:r>
                </m:e>
                <m:sub>
                  <m:r>
                    <w:rPr>
                      <w:rFonts w:ascii="Cambria Math" w:hAnsi="Cambria Math" w:cs="Arial"/>
                      <w:sz w:val="24"/>
                      <w:szCs w:val="24"/>
                    </w:rPr>
                    <m:t>i</m:t>
                  </m:r>
                </m:sub>
              </m:sSub>
            </m:den>
          </m:f>
          <m:r>
            <m:rPr>
              <m:sty m:val="p"/>
            </m:rPr>
            <w:rPr>
              <w:rFonts w:ascii="Cambria Math" w:hAnsi="Cambria Math" w:cs="Arial"/>
              <w:sz w:val="24"/>
              <w:szCs w:val="24"/>
            </w:rPr>
            <m:t>*100</m:t>
          </m:r>
        </m:oMath>
      </m:oMathPara>
    </w:p>
    <w:p w:rsidRPr="00C022D7" w:rsidR="00C022D7" w:rsidP="00C022D7" w:rsidRDefault="00C022D7" w14:paraId="5116593E" w14:textId="77777777">
      <w:pPr>
        <w:spacing w:line="360" w:lineRule="auto"/>
        <w:jc w:val="both"/>
        <w:rPr>
          <w:rFonts w:ascii="Arial" w:hAnsi="Arial" w:cs="Arial"/>
          <w:sz w:val="24"/>
          <w:szCs w:val="24"/>
        </w:rPr>
      </w:pPr>
    </w:p>
    <w:p w:rsidRPr="00C022D7" w:rsidR="00C022D7" w:rsidP="2AB3C4C2" w:rsidRDefault="00C022D7" w14:paraId="616A7251" w14:textId="77777777">
      <w:pPr>
        <w:spacing w:line="360" w:lineRule="auto"/>
        <w:ind w:firstLine="432"/>
        <w:jc w:val="both"/>
        <w:rPr>
          <w:rFonts w:ascii="Arial" w:hAnsi="Arial" w:cs="Arial"/>
          <w:sz w:val="24"/>
          <w:szCs w:val="24"/>
          <w:lang w:val="es-ES"/>
        </w:rPr>
      </w:pPr>
      <w:r w:rsidRPr="2AB3C4C2">
        <w:rPr>
          <w:rFonts w:ascii="Arial" w:hAnsi="Arial" w:cs="Arial"/>
          <w:sz w:val="24"/>
          <w:szCs w:val="24"/>
          <w:lang w:val="es-ES"/>
        </w:rPr>
        <w:t xml:space="preserve">Donde </w:t>
      </w:r>
      <m:oMath>
        <m:sSub>
          <m:sSubPr>
            <m:ctrlPr>
              <w:rPr>
                <w:rFonts w:ascii="Cambria Math" w:hAnsi="Cambria Math" w:cs="Arial"/>
                <w:sz w:val="24"/>
                <w:szCs w:val="24"/>
              </w:rPr>
            </m:ctrlPr>
          </m:sSubPr>
          <m:e>
            <m:r>
              <w:rPr>
                <w:rFonts w:ascii="Cambria Math" w:hAnsi="Cambria Math" w:cs="Arial"/>
                <w:sz w:val="24"/>
                <w:szCs w:val="24"/>
              </w:rPr>
              <m:t>NO</m:t>
            </m:r>
          </m:e>
          <m:sub>
            <m:r>
              <w:rPr>
                <w:rFonts w:ascii="Cambria Math" w:hAnsi="Cambria Math" w:cs="Arial"/>
                <w:sz w:val="24"/>
                <w:szCs w:val="24"/>
              </w:rPr>
              <m:t>i</m:t>
            </m:r>
          </m:sub>
        </m:sSub>
        <m:r>
          <m:rPr>
            <m:sty m:val="p"/>
          </m:rPr>
          <w:rPr>
            <w:rFonts w:ascii="Cambria Math" w:hAnsi="Cambria Math" w:cs="Arial"/>
            <w:sz w:val="24"/>
            <w:szCs w:val="24"/>
          </w:rPr>
          <m:t xml:space="preserve"> </m:t>
        </m:r>
      </m:oMath>
      <w:r w:rsidRPr="2AB3C4C2">
        <w:rPr>
          <w:rFonts w:ascii="Arial" w:hAnsi="Arial" w:cs="Arial"/>
          <w:sz w:val="24"/>
          <w:szCs w:val="24"/>
          <w:lang w:val="es-ES"/>
        </w:rPr>
        <w:t xml:space="preserve">representa la concentración de NO inicial y </w:t>
      </w:r>
      <m:oMath>
        <m:sSub>
          <m:sSubPr>
            <m:ctrlPr>
              <w:rPr>
                <w:rFonts w:ascii="Cambria Math" w:hAnsi="Cambria Math" w:cs="Arial"/>
                <w:sz w:val="24"/>
                <w:szCs w:val="24"/>
              </w:rPr>
            </m:ctrlPr>
          </m:sSubPr>
          <m:e>
            <m:r>
              <w:rPr>
                <w:rFonts w:ascii="Cambria Math" w:hAnsi="Cambria Math" w:cs="Arial"/>
                <w:sz w:val="24"/>
                <w:szCs w:val="24"/>
              </w:rPr>
              <m:t>NO</m:t>
            </m:r>
          </m:e>
          <m:sub>
            <m:r>
              <w:rPr>
                <w:rFonts w:ascii="Cambria Math" w:hAnsi="Cambria Math" w:cs="Arial"/>
                <w:sz w:val="24"/>
                <w:szCs w:val="24"/>
              </w:rPr>
              <m:t>f</m:t>
            </m:r>
          </m:sub>
        </m:sSub>
      </m:oMath>
      <w:r w:rsidRPr="2AB3C4C2">
        <w:rPr>
          <w:rFonts w:ascii="Arial" w:hAnsi="Arial" w:cs="Arial"/>
          <w:sz w:val="24"/>
          <w:szCs w:val="24"/>
          <w:lang w:val="es-ES"/>
        </w:rPr>
        <w:t xml:space="preserve"> la concentración de NO final </w:t>
      </w:r>
      <w:r w:rsidRPr="2AB3C4C2">
        <w:rPr>
          <w:rFonts w:ascii="Arial" w:hAnsi="Arial" w:cs="Arial"/>
          <w:sz w:val="24"/>
          <w:szCs w:val="24"/>
          <w:lang w:val="es-ES"/>
        </w:rPr>
        <w:t xml:space="preserve">despues</w:t>
      </w:r>
      <w:r w:rsidRPr="2AB3C4C2">
        <w:rPr>
          <w:rFonts w:ascii="Arial" w:hAnsi="Arial" w:cs="Arial"/>
          <w:sz w:val="24"/>
          <w:szCs w:val="24"/>
          <w:lang w:val="es-ES"/>
        </w:rPr>
        <w:t xml:space="preserve"> de 30 minutos de irradiación. </w:t>
      </w:r>
    </w:p>
    <w:p w:rsidR="2AB3C4C2" w:rsidP="2AB3C4C2" w:rsidRDefault="2AB3C4C2" w14:paraId="36C74846" w14:textId="3C88628D">
      <w:pPr>
        <w:pStyle w:val="Normal"/>
        <w:spacing w:line="360" w:lineRule="auto"/>
        <w:ind w:firstLine="432"/>
        <w:jc w:val="both"/>
        <w:rPr>
          <w:rFonts w:ascii="Arial" w:hAnsi="Arial" w:cs="Arial"/>
          <w:sz w:val="24"/>
          <w:szCs w:val="24"/>
          <w:lang w:val="es-ES"/>
        </w:rPr>
      </w:pPr>
    </w:p>
    <w:p w:rsidRPr="00A347B3" w:rsidR="00C022D7" w:rsidP="00C022D7" w:rsidRDefault="00EB1E25" w14:paraId="4D8F9E2C" w14:textId="1B0533E6">
      <w:pPr>
        <w:spacing w:line="360" w:lineRule="auto"/>
        <w:jc w:val="both"/>
        <w:rPr>
          <w:rFonts w:ascii="Arial Black" w:hAnsi="Arial Black" w:cs="Arial"/>
          <w:b/>
          <w:bCs/>
          <w:sz w:val="28"/>
          <w:szCs w:val="28"/>
        </w:rPr>
      </w:pPr>
      <w:r w:rsidRPr="00A347B3">
        <w:rPr>
          <w:rFonts w:ascii="Arial Black" w:hAnsi="Arial Black" w:cs="Arial"/>
          <w:b/>
          <w:bCs/>
          <w:sz w:val="28"/>
          <w:szCs w:val="28"/>
        </w:rPr>
        <w:t xml:space="preserve">3. RESULTADOS </w:t>
      </w:r>
    </w:p>
    <w:p w:rsidRPr="00C022D7" w:rsidR="00C022D7" w:rsidP="2AB3C4C2" w:rsidRDefault="00C022D7" w14:paraId="19B3CF5C" w14:textId="77777777">
      <w:pPr>
        <w:spacing w:line="360" w:lineRule="auto"/>
        <w:jc w:val="both"/>
        <w:rPr>
          <w:rFonts w:ascii="Arial" w:hAnsi="Arial" w:cs="Arial"/>
          <w:sz w:val="24"/>
          <w:szCs w:val="24"/>
          <w:lang w:val="es-ES"/>
        </w:rPr>
      </w:pPr>
      <w:r w:rsidRPr="2AB3C4C2" w:rsidR="2AB3C4C2">
        <w:rPr>
          <w:rFonts w:ascii="Arial" w:hAnsi="Arial" w:cs="Arial"/>
          <w:sz w:val="24"/>
          <w:szCs w:val="24"/>
          <w:lang w:val="es-ES"/>
        </w:rPr>
        <w:t xml:space="preserve">El </w:t>
      </w:r>
      <w:r w:rsidRPr="2AB3C4C2" w:rsidR="2AB3C4C2">
        <w:rPr>
          <w:rFonts w:ascii="Arial" w:hAnsi="Arial" w:cs="Arial"/>
          <w:sz w:val="24"/>
          <w:szCs w:val="24"/>
          <w:lang w:val="es-ES"/>
        </w:rPr>
        <w:t>ZnO</w:t>
      </w:r>
      <w:r w:rsidRPr="2AB3C4C2" w:rsidR="2AB3C4C2">
        <w:rPr>
          <w:rFonts w:ascii="Arial" w:hAnsi="Arial" w:cs="Arial"/>
          <w:sz w:val="24"/>
          <w:szCs w:val="24"/>
          <w:lang w:val="es-ES"/>
        </w:rPr>
        <w:t xml:space="preserve"> utilizado en la preparación de los morteros está constituido principalmente de la fase </w:t>
      </w:r>
      <w:r w:rsidRPr="2AB3C4C2" w:rsidR="2AB3C4C2">
        <w:rPr>
          <w:rFonts w:ascii="Arial" w:hAnsi="Arial" w:cs="Arial"/>
          <w:sz w:val="24"/>
          <w:szCs w:val="24"/>
          <w:lang w:val="es-ES"/>
        </w:rPr>
        <w:t>wurzita</w:t>
      </w:r>
      <w:r w:rsidRPr="2AB3C4C2" w:rsidR="2AB3C4C2">
        <w:rPr>
          <w:rFonts w:ascii="Arial" w:hAnsi="Arial" w:cs="Arial"/>
          <w:sz w:val="24"/>
          <w:szCs w:val="24"/>
          <w:lang w:val="es-ES"/>
        </w:rPr>
        <w:t xml:space="preserve"> hexagonal en concordancia con la tarjeta </w:t>
      </w:r>
      <w:r w:rsidRPr="2AB3C4C2" w:rsidR="2AB3C4C2">
        <w:rPr>
          <w:rFonts w:ascii="Arial" w:hAnsi="Arial" w:cs="Arial"/>
          <w:sz w:val="24"/>
          <w:szCs w:val="24"/>
          <w:lang w:val="es-ES"/>
        </w:rPr>
        <w:t>N°</w:t>
      </w:r>
      <w:r w:rsidRPr="2AB3C4C2" w:rsidR="2AB3C4C2">
        <w:rPr>
          <w:rFonts w:ascii="Arial" w:hAnsi="Arial" w:cs="Arial"/>
          <w:sz w:val="24"/>
          <w:szCs w:val="24"/>
          <w:lang w:val="es-ES"/>
        </w:rPr>
        <w:t xml:space="preserve"> 36-1451, tal y como se aprecia el patrón de difracción de rayos-X presentado en la Figura 3. Dicho material presenta un área superficial específica de 4.4 m</w:t>
      </w:r>
      <w:r w:rsidRPr="2AB3C4C2" w:rsidR="2AB3C4C2">
        <w:rPr>
          <w:rFonts w:ascii="Arial" w:hAnsi="Arial" w:cs="Arial"/>
          <w:sz w:val="24"/>
          <w:szCs w:val="24"/>
          <w:vertAlign w:val="superscript"/>
          <w:lang w:val="es-ES"/>
        </w:rPr>
        <w:t>2</w:t>
      </w:r>
      <w:r w:rsidRPr="2AB3C4C2" w:rsidR="2AB3C4C2">
        <w:rPr>
          <w:rFonts w:ascii="Arial" w:hAnsi="Arial" w:cs="Arial"/>
          <w:sz w:val="24"/>
          <w:szCs w:val="24"/>
          <w:lang w:val="es-ES"/>
        </w:rPr>
        <w:t xml:space="preserve"> g</w:t>
      </w:r>
      <w:r w:rsidRPr="2AB3C4C2" w:rsidR="2AB3C4C2">
        <w:rPr>
          <w:rFonts w:ascii="Arial" w:hAnsi="Arial" w:cs="Arial"/>
          <w:sz w:val="24"/>
          <w:szCs w:val="24"/>
          <w:vertAlign w:val="superscript"/>
          <w:lang w:val="es-ES"/>
        </w:rPr>
        <w:t>-1</w:t>
      </w:r>
      <w:r w:rsidRPr="2AB3C4C2" w:rsidR="2AB3C4C2">
        <w:rPr>
          <w:rFonts w:ascii="Arial" w:hAnsi="Arial" w:cs="Arial"/>
          <w:sz w:val="24"/>
          <w:szCs w:val="24"/>
          <w:lang w:val="es-ES"/>
        </w:rPr>
        <w:t xml:space="preserve">, siendo esta propiedad muy importante en la evaluación de superficies </w:t>
      </w:r>
      <w:r w:rsidRPr="2AB3C4C2" w:rsidR="2AB3C4C2">
        <w:rPr>
          <w:rFonts w:ascii="Arial" w:hAnsi="Arial" w:cs="Arial"/>
          <w:sz w:val="24"/>
          <w:szCs w:val="24"/>
          <w:lang w:val="es-ES"/>
        </w:rPr>
        <w:t>fotocatalíticas</w:t>
      </w:r>
      <w:r w:rsidRPr="2AB3C4C2" w:rsidR="2AB3C4C2">
        <w:rPr>
          <w:rFonts w:ascii="Arial" w:hAnsi="Arial" w:cs="Arial"/>
          <w:sz w:val="24"/>
          <w:szCs w:val="24"/>
          <w:lang w:val="es-ES"/>
        </w:rPr>
        <w:t>, debido a que una mayor área superficial especifica contribuye a una mayor absorción de los contaminantes, lo que a su vez conduce a una mayor degradación de contaminantes.</w:t>
      </w:r>
    </w:p>
    <w:p w:rsidRPr="00C022D7" w:rsidR="00C022D7" w:rsidP="00C022D7" w:rsidRDefault="00C022D7" w14:paraId="2226B9F1" w14:textId="77777777">
      <w:pPr>
        <w:spacing w:line="360" w:lineRule="auto"/>
        <w:jc w:val="both"/>
        <w:rPr>
          <w:rFonts w:ascii="Arial" w:hAnsi="Arial" w:cs="Arial"/>
          <w:sz w:val="24"/>
          <w:szCs w:val="24"/>
        </w:rPr>
      </w:pPr>
      <w:r w:rsidRPr="00C022D7">
        <w:rPr>
          <w:rFonts w:ascii="Arial" w:hAnsi="Arial" w:cs="Arial"/>
          <w:noProof/>
          <w:sz w:val="24"/>
          <w:szCs w:val="24"/>
        </w:rPr>
        <w:drawing>
          <wp:inline distT="0" distB="0" distL="0" distR="0" wp14:anchorId="4A0198A3" wp14:editId="3A498054">
            <wp:extent cx="2929120" cy="2171065"/>
            <wp:effectExtent l="0" t="0" r="5080" b="635"/>
            <wp:docPr id="113607074" name="Imagen 8"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7074" name="Imagen 8" descr="Gráfico&#10;&#10;Descripción generada automáticament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086" t="17456" r="6689" b="2085"/>
                    <a:stretch/>
                  </pic:blipFill>
                  <pic:spPr bwMode="auto">
                    <a:xfrm>
                      <a:off x="0" y="0"/>
                      <a:ext cx="2932778" cy="2173776"/>
                    </a:xfrm>
                    <a:prstGeom prst="rect">
                      <a:avLst/>
                    </a:prstGeom>
                    <a:noFill/>
                    <a:ln>
                      <a:noFill/>
                    </a:ln>
                    <a:extLst>
                      <a:ext uri="{53640926-AAD7-44D8-BBD7-CCE9431645EC}">
                        <a14:shadowObscured xmlns:a14="http://schemas.microsoft.com/office/drawing/2010/main"/>
                      </a:ext>
                    </a:extLst>
                  </pic:spPr>
                </pic:pic>
              </a:graphicData>
            </a:graphic>
          </wp:inline>
        </w:drawing>
      </w:r>
    </w:p>
    <w:p w:rsidRPr="00E117CF" w:rsidR="00C022D7" w:rsidP="2AB3C4C2" w:rsidRDefault="00C022D7" w14:paraId="42B80AE6" w14:textId="77777777">
      <w:pPr>
        <w:spacing w:line="360" w:lineRule="auto"/>
        <w:jc w:val="center"/>
        <w:rPr>
          <w:rFonts w:ascii="Arial" w:hAnsi="Arial" w:cs="Arial"/>
          <w:sz w:val="22"/>
          <w:szCs w:val="22"/>
          <w:lang w:val="es-ES"/>
        </w:rPr>
      </w:pPr>
      <w:r w:rsidRPr="2AB3C4C2" w:rsidR="2AB3C4C2">
        <w:rPr>
          <w:rFonts w:ascii="Arial" w:hAnsi="Arial" w:cs="Arial"/>
          <w:b w:val="1"/>
          <w:bCs w:val="1"/>
          <w:sz w:val="22"/>
          <w:szCs w:val="22"/>
          <w:lang w:val="es-ES"/>
        </w:rPr>
        <w:t>Figura 3.</w:t>
      </w:r>
      <w:r w:rsidRPr="2AB3C4C2" w:rsidR="2AB3C4C2">
        <w:rPr>
          <w:rFonts w:ascii="Arial" w:hAnsi="Arial" w:cs="Arial"/>
          <w:sz w:val="22"/>
          <w:szCs w:val="22"/>
          <w:lang w:val="es-ES"/>
        </w:rPr>
        <w:t xml:space="preserve"> Patrón de difracción de rayos-X del </w:t>
      </w:r>
      <w:r w:rsidRPr="2AB3C4C2" w:rsidR="2AB3C4C2">
        <w:rPr>
          <w:rFonts w:ascii="Arial" w:hAnsi="Arial" w:cs="Arial"/>
          <w:sz w:val="22"/>
          <w:szCs w:val="22"/>
          <w:lang w:val="es-ES"/>
        </w:rPr>
        <w:t>ZnO</w:t>
      </w:r>
      <w:r w:rsidRPr="2AB3C4C2" w:rsidR="2AB3C4C2">
        <w:rPr>
          <w:rFonts w:ascii="Arial" w:hAnsi="Arial" w:cs="Arial"/>
          <w:sz w:val="22"/>
          <w:szCs w:val="22"/>
          <w:lang w:val="es-ES"/>
        </w:rPr>
        <w:t>.</w:t>
      </w:r>
    </w:p>
    <w:p w:rsidRPr="00C022D7" w:rsidR="00C022D7" w:rsidP="00C022D7" w:rsidRDefault="00C022D7" w14:paraId="2986E3CF" w14:textId="77777777">
      <w:pPr>
        <w:spacing w:line="360" w:lineRule="auto"/>
        <w:jc w:val="both"/>
        <w:rPr>
          <w:rFonts w:ascii="Arial" w:hAnsi="Arial" w:cs="Arial"/>
          <w:sz w:val="24"/>
          <w:szCs w:val="24"/>
        </w:rPr>
      </w:pPr>
    </w:p>
    <w:p w:rsidRPr="00C022D7" w:rsidR="00C022D7" w:rsidP="2AB3C4C2" w:rsidRDefault="00C022D7" w14:paraId="36DE5644" w14:textId="77777777">
      <w:pPr>
        <w:spacing w:line="360" w:lineRule="auto"/>
        <w:ind w:firstLine="432"/>
        <w:jc w:val="both"/>
        <w:rPr>
          <w:rFonts w:ascii="Arial" w:hAnsi="Arial" w:cs="Arial"/>
          <w:sz w:val="24"/>
          <w:szCs w:val="24"/>
          <w:lang w:val="es-ES"/>
        </w:rPr>
      </w:pPr>
      <w:r w:rsidRPr="2AB3C4C2" w:rsidR="2AB3C4C2">
        <w:rPr>
          <w:rFonts w:ascii="Arial" w:hAnsi="Arial" w:cs="Arial"/>
          <w:sz w:val="24"/>
          <w:szCs w:val="24"/>
          <w:lang w:val="es-ES"/>
        </w:rPr>
        <w:t xml:space="preserve">La actividad </w:t>
      </w:r>
      <w:r w:rsidRPr="2AB3C4C2" w:rsidR="2AB3C4C2">
        <w:rPr>
          <w:rFonts w:ascii="Arial" w:hAnsi="Arial" w:cs="Arial"/>
          <w:sz w:val="24"/>
          <w:szCs w:val="24"/>
          <w:lang w:val="es-ES"/>
        </w:rPr>
        <w:t>fotocatalítica</w:t>
      </w:r>
      <w:r w:rsidRPr="2AB3C4C2" w:rsidR="2AB3C4C2">
        <w:rPr>
          <w:rFonts w:ascii="Arial" w:hAnsi="Arial" w:cs="Arial"/>
          <w:sz w:val="24"/>
          <w:szCs w:val="24"/>
          <w:lang w:val="es-ES"/>
        </w:rPr>
        <w:t xml:space="preserve"> obtenida para las diferentes muestras de yeso </w:t>
      </w:r>
      <w:r w:rsidRPr="2AB3C4C2" w:rsidR="2AB3C4C2">
        <w:rPr>
          <w:rFonts w:ascii="Arial" w:hAnsi="Arial" w:cs="Arial"/>
          <w:sz w:val="24"/>
          <w:szCs w:val="24"/>
          <w:lang w:val="es-ES"/>
        </w:rPr>
        <w:t>fotocatalítico</w:t>
      </w:r>
      <w:r w:rsidRPr="2AB3C4C2" w:rsidR="2AB3C4C2">
        <w:rPr>
          <w:rFonts w:ascii="Arial" w:hAnsi="Arial" w:cs="Arial"/>
          <w:sz w:val="24"/>
          <w:szCs w:val="24"/>
          <w:lang w:val="es-ES"/>
        </w:rPr>
        <w:t xml:space="preserve"> es presentada en la Figura 4. Como se puede apreciar en la gráfica, ambas muestras presentaron una importante degradación de la molécula contaminante de óxido nítrico (NO). Se puede apreciar que la actividad </w:t>
      </w:r>
      <w:r w:rsidRPr="2AB3C4C2" w:rsidR="2AB3C4C2">
        <w:rPr>
          <w:rFonts w:ascii="Arial" w:hAnsi="Arial" w:cs="Arial"/>
          <w:sz w:val="24"/>
          <w:szCs w:val="24"/>
          <w:lang w:val="es-ES"/>
        </w:rPr>
        <w:t>fotocatalítica</w:t>
      </w:r>
      <w:r w:rsidRPr="2AB3C4C2" w:rsidR="2AB3C4C2">
        <w:rPr>
          <w:rFonts w:ascii="Arial" w:hAnsi="Arial" w:cs="Arial"/>
          <w:sz w:val="24"/>
          <w:szCs w:val="24"/>
          <w:lang w:val="es-ES"/>
        </w:rPr>
        <w:t xml:space="preserve"> se incrementó conforme se añadió un mayor porcentaje de </w:t>
      </w:r>
      <w:r w:rsidRPr="2AB3C4C2" w:rsidR="2AB3C4C2">
        <w:rPr>
          <w:rFonts w:ascii="Arial" w:hAnsi="Arial" w:cs="Arial"/>
          <w:sz w:val="24"/>
          <w:szCs w:val="24"/>
          <w:lang w:val="es-ES"/>
        </w:rPr>
        <w:t>ZnO</w:t>
      </w:r>
      <w:r w:rsidRPr="2AB3C4C2" w:rsidR="2AB3C4C2">
        <w:rPr>
          <w:rFonts w:ascii="Arial" w:hAnsi="Arial" w:cs="Arial"/>
          <w:sz w:val="24"/>
          <w:szCs w:val="24"/>
          <w:lang w:val="es-ES"/>
        </w:rPr>
        <w:t xml:space="preserve"> a las mezclas de yeso, siendo la muestra preparada con un 3% de </w:t>
      </w:r>
      <w:r w:rsidRPr="2AB3C4C2" w:rsidR="2AB3C4C2">
        <w:rPr>
          <w:rFonts w:ascii="Arial" w:hAnsi="Arial" w:cs="Arial"/>
          <w:sz w:val="24"/>
          <w:szCs w:val="24"/>
          <w:lang w:val="es-ES"/>
        </w:rPr>
        <w:t>ZnO</w:t>
      </w:r>
      <w:r w:rsidRPr="2AB3C4C2" w:rsidR="2AB3C4C2">
        <w:rPr>
          <w:rFonts w:ascii="Arial" w:hAnsi="Arial" w:cs="Arial"/>
          <w:sz w:val="24"/>
          <w:szCs w:val="24"/>
          <w:lang w:val="es-ES"/>
        </w:rPr>
        <w:t xml:space="preserve"> la que alcanzó una eliminación de 25% después de 30 minutos de irradiación con luz UV-A. Este resultado es muy similar al alcanzado por </w:t>
      </w:r>
      <w:r w:rsidRPr="2AB3C4C2" w:rsidR="2AB3C4C2">
        <w:rPr>
          <w:rFonts w:ascii="Arial" w:hAnsi="Arial" w:cs="Arial"/>
          <w:sz w:val="24"/>
          <w:szCs w:val="24"/>
          <w:lang w:val="es-ES"/>
        </w:rPr>
        <w:t>las muestra</w:t>
      </w:r>
      <w:r w:rsidRPr="2AB3C4C2" w:rsidR="2AB3C4C2">
        <w:rPr>
          <w:rFonts w:ascii="Arial" w:hAnsi="Arial" w:cs="Arial"/>
          <w:sz w:val="24"/>
          <w:szCs w:val="24"/>
          <w:lang w:val="es-ES"/>
        </w:rPr>
        <w:t xml:space="preserve"> de mortero preparado con 20% de adición de TiO</w:t>
      </w:r>
      <w:r w:rsidRPr="2AB3C4C2" w:rsidR="2AB3C4C2">
        <w:rPr>
          <w:rFonts w:ascii="Arial" w:hAnsi="Arial" w:cs="Arial"/>
          <w:sz w:val="24"/>
          <w:szCs w:val="24"/>
          <w:vertAlign w:val="subscript"/>
          <w:lang w:val="es-ES"/>
        </w:rPr>
        <w:t>2</w:t>
      </w:r>
      <w:r w:rsidRPr="2AB3C4C2" w:rsidR="2AB3C4C2">
        <w:rPr>
          <w:rFonts w:ascii="Arial" w:hAnsi="Arial" w:cs="Arial"/>
          <w:sz w:val="24"/>
          <w:szCs w:val="24"/>
          <w:lang w:val="es-ES"/>
        </w:rPr>
        <w:t xml:space="preserve"> modificado con nitrógeno la cual alcanzó un % de degradación de NO de aproximadamente 30% </w:t>
      </w:r>
      <w:r w:rsidRPr="2AB3C4C2">
        <w:rPr>
          <w:rFonts w:ascii="Arial" w:hAnsi="Arial" w:cs="Arial"/>
          <w:sz w:val="24"/>
          <w:szCs w:val="24"/>
        </w:rPr>
        <w:fldChar w:fldCharType="begin" w:fldLock="true"/>
      </w:r>
      <w:r w:rsidRPr="2AB3C4C2">
        <w:rPr>
          <w:rFonts w:ascii="Arial" w:hAnsi="Arial" w:cs="Arial"/>
          <w:sz w:val="24"/>
          <w:szCs w:val="24"/>
        </w:rPr>
        <w:instrText xml:space="preserve">ADDIN CSL_CITATION {"citationItems":[{"id":"ITEM-1","itemData":{"DOI":"10.1515/pjct-2015-0042","ISSN":"18994741","abstract":"In presented studies the photocatalytic decomposition of NOx on gypsum plates modified by TiO2-N, Cphotocatalysts were presented. The gypsum plates were obtained by addition of 10 or 20 wt.% of different types of titanium dioxide, such as: pure TiO2 and carbon and nitrogen co-modified TiO2 (TiO2-N,C) to gypsum. TiO2-N,C photocatalysts were obtained by heating up the starting TiO2 (Grupa Azoty Zakłady Chemiczne Police S.A) in the atmosphere of ammonia and carbon at the temperature: 100, 300 i 600°C. Photocatalyst were characterized by FTIR/DRS, UVVis/DR, BET and XRD methods. Moreover the compressive strength tests of modified gypsum were also done. Photocatalytic activity of gypsum plates was done during NOx decomposition. The highest photocatalytic activity has gypsum with 20 wt.% addition of TiO2-N,C obtained at 300°C.","author":[{"dropping-particle":"","family":"Janus","given":"Magdalena","non-dropping-particle":"","parse-names":false,"suffix":""},{"dropping-particle":"","family":"Bubacz","given":"Kamila","non-dropping-particle":"","parse-names":false,"suffix":""},{"dropping-particle":"","family":"Zatorska","given":"Justyna","non-dropping-particle":"","parse-names":false,"suffix":""},{"dropping-particle":"","family":"Kusiak-Nejman","given":"Ewelina","non-dropping-particle":"","parse-names":false,"suffix":""},{"dropping-particle":"","family":"Czyzewski","given":"Adam","non-dropping-particle":"","parse-names":false,"suffix":""},{"dropping-particle":"","family":"Morawski","given":"Antoni W.","non-dropping-particle":"","parse-names":false,"suffix":""}],"container-title":"Polish Journal of Chemical Technology","id":"ITEM-1","issue":"3","issued":{"date-parts":[["2015"]]},"page":"8-12","title":"NOx photocatalytic degradation on gypsum plates modified by TiO2-N,C photocatalysts","type":"article-journal","volume":"17"},"uris":["http://www.mendeley.com/documents/?uuid=516f74a0-adcb-46dd-8334-437e3afe971c"]}],"mendeley":{"formattedCitation":"[8]","plainTextFormattedCitation":"[8]","previouslyFormattedCitation":"(Janus et al., 2015)"},"properties":{"noteIndex":0},"schema":"https://github.com/citation-style-language/schema/raw/master/csl-citation.json"}</w:instrText>
      </w:r>
      <w:r w:rsidRPr="2AB3C4C2">
        <w:rPr>
          <w:rFonts w:ascii="Arial" w:hAnsi="Arial" w:cs="Arial"/>
          <w:sz w:val="24"/>
          <w:szCs w:val="24"/>
        </w:rPr>
        <w:fldChar w:fldCharType="separate"/>
      </w:r>
      <w:r w:rsidRPr="2AB3C4C2" w:rsidR="2AB3C4C2">
        <w:rPr>
          <w:rFonts w:ascii="Arial" w:hAnsi="Arial" w:cs="Arial"/>
          <w:sz w:val="24"/>
          <w:szCs w:val="24"/>
          <w:lang w:val="es-ES"/>
        </w:rPr>
        <w:t>[7]</w:t>
      </w:r>
      <w:r w:rsidRPr="2AB3C4C2">
        <w:rPr>
          <w:rFonts w:ascii="Arial" w:hAnsi="Arial" w:cs="Arial"/>
          <w:sz w:val="24"/>
          <w:szCs w:val="24"/>
        </w:rPr>
        <w:fldChar w:fldCharType="end"/>
      </w:r>
      <w:r w:rsidRPr="2AB3C4C2" w:rsidR="2AB3C4C2">
        <w:rPr>
          <w:rFonts w:ascii="Arial" w:hAnsi="Arial" w:cs="Arial"/>
          <w:sz w:val="24"/>
          <w:szCs w:val="24"/>
          <w:lang w:val="es-ES"/>
        </w:rPr>
        <w:t xml:space="preserve">, por lo cual con base en los resultados obtenidos podemos asegurar que la adición de </w:t>
      </w:r>
      <w:r w:rsidRPr="2AB3C4C2" w:rsidR="2AB3C4C2">
        <w:rPr>
          <w:rFonts w:ascii="Arial" w:hAnsi="Arial" w:cs="Arial"/>
          <w:sz w:val="24"/>
          <w:szCs w:val="24"/>
          <w:lang w:val="es-ES"/>
        </w:rPr>
        <w:t>ZnO</w:t>
      </w:r>
      <w:r w:rsidRPr="2AB3C4C2" w:rsidR="2AB3C4C2">
        <w:rPr>
          <w:rFonts w:ascii="Arial" w:hAnsi="Arial" w:cs="Arial"/>
          <w:sz w:val="24"/>
          <w:szCs w:val="24"/>
          <w:lang w:val="es-ES"/>
        </w:rPr>
        <w:t xml:space="preserve"> en yeso representa una muy buena opción de eliminación de NO y puede ser potencialmente utilizada en espacios interiores.</w:t>
      </w:r>
    </w:p>
    <w:p w:rsidRPr="00C022D7" w:rsidR="00C022D7" w:rsidP="00C022D7" w:rsidRDefault="00C022D7" w14:paraId="0AA02EEC" w14:textId="77777777">
      <w:pPr>
        <w:spacing w:line="360" w:lineRule="auto"/>
        <w:jc w:val="both"/>
        <w:rPr>
          <w:rFonts w:ascii="Arial" w:hAnsi="Arial" w:cs="Arial"/>
          <w:sz w:val="24"/>
          <w:szCs w:val="24"/>
        </w:rPr>
      </w:pPr>
      <w:r w:rsidRPr="00C022D7">
        <w:rPr>
          <w:rFonts w:ascii="Arial" w:hAnsi="Arial" w:cs="Arial"/>
          <w:noProof/>
          <w:sz w:val="24"/>
          <w:szCs w:val="24"/>
        </w:rPr>
        <w:drawing>
          <wp:inline distT="0" distB="0" distL="0" distR="0" wp14:anchorId="30CCEB8F" wp14:editId="4075AD02">
            <wp:extent cx="3017697" cy="1592580"/>
            <wp:effectExtent l="0" t="0" r="0" b="7620"/>
            <wp:docPr id="212412717" name="Imagen 7"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12717" name="Imagen 7" descr="Gráfico, Histograma&#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8529" cy="1598296"/>
                    </a:xfrm>
                    <a:prstGeom prst="rect">
                      <a:avLst/>
                    </a:prstGeom>
                    <a:noFill/>
                  </pic:spPr>
                </pic:pic>
              </a:graphicData>
            </a:graphic>
          </wp:inline>
        </w:drawing>
      </w:r>
    </w:p>
    <w:p w:rsidRPr="00E117CF" w:rsidR="00C022D7" w:rsidP="2AB3C4C2" w:rsidRDefault="00C022D7" w14:paraId="3E34BA66" w14:textId="77777777">
      <w:pPr>
        <w:spacing w:line="360" w:lineRule="auto"/>
        <w:jc w:val="center"/>
        <w:rPr>
          <w:rFonts w:ascii="Arial" w:hAnsi="Arial" w:cs="Arial"/>
          <w:sz w:val="22"/>
          <w:szCs w:val="22"/>
          <w:lang w:val="es-ES"/>
        </w:rPr>
      </w:pPr>
      <w:r w:rsidRPr="2AB3C4C2" w:rsidR="2AB3C4C2">
        <w:rPr>
          <w:rFonts w:ascii="Arial" w:hAnsi="Arial" w:cs="Arial"/>
          <w:b w:val="1"/>
          <w:bCs w:val="1"/>
          <w:sz w:val="22"/>
          <w:szCs w:val="22"/>
          <w:lang w:val="es-ES"/>
        </w:rPr>
        <w:t>Figura 4.</w:t>
      </w:r>
      <w:r w:rsidRPr="2AB3C4C2" w:rsidR="2AB3C4C2">
        <w:rPr>
          <w:rFonts w:ascii="Arial" w:hAnsi="Arial" w:cs="Arial"/>
          <w:sz w:val="22"/>
          <w:szCs w:val="22"/>
          <w:lang w:val="es-ES"/>
        </w:rPr>
        <w:t xml:space="preserve"> a) Muestra de yeso </w:t>
      </w:r>
      <w:r w:rsidRPr="2AB3C4C2" w:rsidR="2AB3C4C2">
        <w:rPr>
          <w:rFonts w:ascii="Arial" w:hAnsi="Arial" w:cs="Arial"/>
          <w:sz w:val="22"/>
          <w:szCs w:val="22"/>
          <w:lang w:val="es-ES"/>
        </w:rPr>
        <w:t>fotocatalítico</w:t>
      </w:r>
      <w:r w:rsidRPr="2AB3C4C2" w:rsidR="2AB3C4C2">
        <w:rPr>
          <w:rFonts w:ascii="Arial" w:hAnsi="Arial" w:cs="Arial"/>
          <w:sz w:val="22"/>
          <w:szCs w:val="22"/>
          <w:lang w:val="es-ES"/>
        </w:rPr>
        <w:t xml:space="preserve"> preparado con 3% de </w:t>
      </w:r>
      <w:r w:rsidRPr="2AB3C4C2" w:rsidR="2AB3C4C2">
        <w:rPr>
          <w:rFonts w:ascii="Arial" w:hAnsi="Arial" w:cs="Arial"/>
          <w:sz w:val="22"/>
          <w:szCs w:val="22"/>
          <w:lang w:val="es-ES"/>
        </w:rPr>
        <w:t>ZnO</w:t>
      </w:r>
      <w:r w:rsidRPr="2AB3C4C2" w:rsidR="2AB3C4C2">
        <w:rPr>
          <w:rFonts w:ascii="Arial" w:hAnsi="Arial" w:cs="Arial"/>
          <w:sz w:val="22"/>
          <w:szCs w:val="22"/>
          <w:lang w:val="es-ES"/>
        </w:rPr>
        <w:t xml:space="preserve">, b) Porcentaje de conversión de NO obtenido por las muestras de yeso </w:t>
      </w:r>
      <w:r w:rsidRPr="2AB3C4C2" w:rsidR="2AB3C4C2">
        <w:rPr>
          <w:rFonts w:ascii="Arial" w:hAnsi="Arial" w:cs="Arial"/>
          <w:sz w:val="22"/>
          <w:szCs w:val="22"/>
          <w:lang w:val="es-ES"/>
        </w:rPr>
        <w:t>fotocatalítico</w:t>
      </w:r>
      <w:r w:rsidRPr="2AB3C4C2" w:rsidR="2AB3C4C2">
        <w:rPr>
          <w:rFonts w:ascii="Arial" w:hAnsi="Arial" w:cs="Arial"/>
          <w:sz w:val="22"/>
          <w:szCs w:val="22"/>
          <w:lang w:val="es-ES"/>
        </w:rPr>
        <w:t>.</w:t>
      </w:r>
    </w:p>
    <w:p w:rsidRPr="00C022D7" w:rsidR="00E117CF" w:rsidP="00C022D7" w:rsidRDefault="00E117CF" w14:paraId="6D072887" w14:textId="77777777">
      <w:pPr>
        <w:spacing w:line="360" w:lineRule="auto"/>
        <w:jc w:val="both"/>
        <w:rPr>
          <w:rFonts w:ascii="Arial" w:hAnsi="Arial" w:cs="Arial"/>
          <w:sz w:val="24"/>
          <w:szCs w:val="24"/>
        </w:rPr>
      </w:pPr>
    </w:p>
    <w:p w:rsidR="2AB3C4C2" w:rsidP="2AB3C4C2" w:rsidRDefault="2AB3C4C2" w14:paraId="3F9368E6" w14:textId="63A34995">
      <w:pPr>
        <w:pStyle w:val="Normal"/>
        <w:spacing w:line="360" w:lineRule="auto"/>
        <w:jc w:val="both"/>
        <w:rPr>
          <w:rFonts w:ascii="Arial" w:hAnsi="Arial" w:cs="Arial"/>
          <w:sz w:val="24"/>
          <w:szCs w:val="24"/>
        </w:rPr>
      </w:pPr>
    </w:p>
    <w:p w:rsidRPr="00A347B3" w:rsidR="00C022D7" w:rsidP="00C022D7" w:rsidRDefault="00A347B3" w14:paraId="2A9918F8" w14:textId="1CEE44F5">
      <w:pPr>
        <w:spacing w:line="360" w:lineRule="auto"/>
        <w:jc w:val="both"/>
        <w:rPr>
          <w:rFonts w:ascii="Arial Black" w:hAnsi="Arial Black" w:cs="Arial"/>
          <w:b/>
          <w:bCs/>
          <w:sz w:val="28"/>
          <w:szCs w:val="28"/>
        </w:rPr>
      </w:pPr>
      <w:r w:rsidRPr="00A347B3">
        <w:rPr>
          <w:rFonts w:ascii="Arial Black" w:hAnsi="Arial Black" w:cs="Arial"/>
          <w:b/>
          <w:bCs/>
          <w:sz w:val="28"/>
          <w:szCs w:val="28"/>
        </w:rPr>
        <w:t>4. CONCLUSIONES</w:t>
      </w:r>
    </w:p>
    <w:p w:rsidRPr="00C022D7" w:rsidR="00C022D7" w:rsidP="2AB3C4C2" w:rsidRDefault="00C022D7" w14:paraId="49E1CFAF" w14:textId="77777777">
      <w:pPr>
        <w:spacing w:line="360" w:lineRule="auto"/>
        <w:jc w:val="both"/>
        <w:rPr>
          <w:rFonts w:ascii="Arial" w:hAnsi="Arial" w:cs="Arial"/>
          <w:sz w:val="24"/>
          <w:szCs w:val="24"/>
          <w:lang w:val="es-ES"/>
        </w:rPr>
      </w:pPr>
      <w:r w:rsidRPr="2AB3C4C2" w:rsidR="2AB3C4C2">
        <w:rPr>
          <w:rFonts w:ascii="Arial" w:hAnsi="Arial" w:cs="Arial"/>
          <w:sz w:val="24"/>
          <w:szCs w:val="24"/>
          <w:lang w:val="es-ES"/>
        </w:rPr>
        <w:t xml:space="preserve">Fue posible formular muestras de yeso </w:t>
      </w:r>
      <w:r w:rsidRPr="2AB3C4C2" w:rsidR="2AB3C4C2">
        <w:rPr>
          <w:rFonts w:ascii="Arial" w:hAnsi="Arial" w:cs="Arial"/>
          <w:sz w:val="24"/>
          <w:szCs w:val="24"/>
          <w:lang w:val="es-ES"/>
        </w:rPr>
        <w:t>fotocatalíticos</w:t>
      </w:r>
      <w:r w:rsidRPr="2AB3C4C2" w:rsidR="2AB3C4C2">
        <w:rPr>
          <w:rFonts w:ascii="Arial" w:hAnsi="Arial" w:cs="Arial"/>
          <w:sz w:val="24"/>
          <w:szCs w:val="24"/>
          <w:lang w:val="es-ES"/>
        </w:rPr>
        <w:t xml:space="preserve"> con adición del fotocatalizador </w:t>
      </w:r>
      <w:r w:rsidRPr="2AB3C4C2" w:rsidR="2AB3C4C2">
        <w:rPr>
          <w:rFonts w:ascii="Arial" w:hAnsi="Arial" w:cs="Arial"/>
          <w:sz w:val="24"/>
          <w:szCs w:val="24"/>
          <w:lang w:val="es-ES"/>
        </w:rPr>
        <w:t>ZnO</w:t>
      </w:r>
      <w:r w:rsidRPr="2AB3C4C2" w:rsidR="2AB3C4C2">
        <w:rPr>
          <w:rFonts w:ascii="Arial" w:hAnsi="Arial" w:cs="Arial"/>
          <w:sz w:val="24"/>
          <w:szCs w:val="24"/>
          <w:lang w:val="es-ES"/>
        </w:rPr>
        <w:t xml:space="preserve">. Estas muestras demostraron una importante eliminación de </w:t>
      </w:r>
      <w:r w:rsidRPr="2AB3C4C2" w:rsidR="2AB3C4C2">
        <w:rPr>
          <w:rFonts w:ascii="Arial" w:hAnsi="Arial" w:cs="Arial"/>
          <w:sz w:val="24"/>
          <w:szCs w:val="24"/>
          <w:lang w:val="es-ES"/>
        </w:rPr>
        <w:t>NO</w:t>
      </w:r>
      <w:r w:rsidRPr="2AB3C4C2" w:rsidR="2AB3C4C2">
        <w:rPr>
          <w:rFonts w:ascii="Arial" w:hAnsi="Arial" w:cs="Arial"/>
          <w:sz w:val="24"/>
          <w:szCs w:val="24"/>
          <w:vertAlign w:val="subscript"/>
          <w:lang w:val="es-ES"/>
        </w:rPr>
        <w:t>x</w:t>
      </w:r>
      <w:r w:rsidRPr="2AB3C4C2" w:rsidR="2AB3C4C2">
        <w:rPr>
          <w:rFonts w:ascii="Arial" w:hAnsi="Arial" w:cs="Arial"/>
          <w:sz w:val="24"/>
          <w:szCs w:val="24"/>
          <w:lang w:val="es-ES"/>
        </w:rPr>
        <w:t>, incluso con un porcentaje de adición de fotocatalizador mucho menor que lo reportado en la literatura, por lo cual consideramos que estos materiales representan una excelente opción de remediación ambiental para ser utilizados en espacios interiores.</w:t>
      </w:r>
    </w:p>
    <w:p w:rsidR="00C022D7" w:rsidP="00C022D7" w:rsidRDefault="00C022D7" w14:paraId="76E958FE" w14:textId="77777777">
      <w:pPr>
        <w:spacing w:line="360" w:lineRule="auto"/>
        <w:jc w:val="both"/>
        <w:rPr>
          <w:rFonts w:ascii="Arial" w:hAnsi="Arial" w:cs="Arial"/>
          <w:sz w:val="24"/>
          <w:szCs w:val="24"/>
        </w:rPr>
      </w:pPr>
    </w:p>
    <w:p w:rsidR="00A347B3" w:rsidP="00C022D7" w:rsidRDefault="00A347B3" w14:paraId="4D0DF979" w14:textId="77777777">
      <w:pPr>
        <w:spacing w:line="360" w:lineRule="auto"/>
        <w:jc w:val="both"/>
        <w:rPr>
          <w:rFonts w:ascii="Arial" w:hAnsi="Arial" w:cs="Arial"/>
          <w:sz w:val="24"/>
          <w:szCs w:val="24"/>
        </w:rPr>
      </w:pPr>
    </w:p>
    <w:p w:rsidR="00A347B3" w:rsidP="00C022D7" w:rsidRDefault="00A347B3" w14:paraId="29507331" w14:textId="77777777">
      <w:pPr>
        <w:spacing w:line="360" w:lineRule="auto"/>
        <w:jc w:val="both"/>
        <w:rPr>
          <w:rFonts w:ascii="Arial" w:hAnsi="Arial" w:cs="Arial"/>
          <w:sz w:val="24"/>
          <w:szCs w:val="24"/>
        </w:rPr>
      </w:pPr>
    </w:p>
    <w:p w:rsidR="00A347B3" w:rsidP="00C022D7" w:rsidRDefault="00A347B3" w14:paraId="1259C2AF" w14:textId="77777777">
      <w:pPr>
        <w:spacing w:line="360" w:lineRule="auto"/>
        <w:jc w:val="both"/>
        <w:rPr>
          <w:rFonts w:ascii="Arial" w:hAnsi="Arial" w:cs="Arial"/>
          <w:sz w:val="24"/>
          <w:szCs w:val="24"/>
        </w:rPr>
      </w:pPr>
    </w:p>
    <w:p w:rsidRPr="00A347B3" w:rsidR="00C022D7" w:rsidP="00A347B3" w:rsidRDefault="00C022D7" w14:paraId="7108021B" w14:textId="564A2C5E">
      <w:pPr>
        <w:spacing w:line="360" w:lineRule="auto"/>
        <w:rPr>
          <w:rFonts w:ascii="Arial Black" w:hAnsi="Arial Black" w:cs="Arial"/>
          <w:b/>
          <w:bCs/>
          <w:sz w:val="28"/>
          <w:szCs w:val="28"/>
          <w:lang w:val="en-US"/>
        </w:rPr>
      </w:pPr>
      <w:r w:rsidRPr="00A347B3">
        <w:rPr>
          <w:rFonts w:ascii="Arial Black" w:hAnsi="Arial Black" w:cs="Arial"/>
          <w:b/>
          <w:bCs/>
          <w:sz w:val="28"/>
          <w:szCs w:val="28"/>
          <w:lang w:val="en-US"/>
        </w:rPr>
        <w:t>5.</w:t>
      </w:r>
      <w:r w:rsidRPr="00A347B3" w:rsidR="00A347B3">
        <w:rPr>
          <w:rFonts w:ascii="Arial Black" w:hAnsi="Arial Black" w:cs="Arial"/>
          <w:b/>
          <w:bCs/>
          <w:sz w:val="28"/>
          <w:szCs w:val="28"/>
          <w:lang w:val="en-US"/>
        </w:rPr>
        <w:t xml:space="preserve"> </w:t>
      </w:r>
      <w:r w:rsidRPr="00A347B3" w:rsidR="00EB1E25">
        <w:rPr>
          <w:rFonts w:ascii="Arial Black" w:hAnsi="Arial Black" w:cs="Arial"/>
          <w:b/>
          <w:bCs/>
          <w:sz w:val="28"/>
          <w:szCs w:val="28"/>
          <w:lang w:val="en-US"/>
        </w:rPr>
        <w:t xml:space="preserve">REFERENCIAS </w:t>
      </w:r>
    </w:p>
    <w:p w:rsidRPr="00C022D7" w:rsidR="00C022D7" w:rsidP="00C022D7" w:rsidRDefault="00C022D7" w14:paraId="5B45AD22" w14:textId="77777777">
      <w:pPr>
        <w:widowControl w:val="0"/>
        <w:adjustRightInd w:val="0"/>
        <w:spacing w:line="360" w:lineRule="auto"/>
        <w:ind w:left="640" w:hanging="640"/>
        <w:jc w:val="both"/>
        <w:rPr>
          <w:rFonts w:ascii="Arial" w:hAnsi="Arial" w:cs="Arial"/>
          <w:sz w:val="24"/>
          <w:szCs w:val="24"/>
          <w:lang w:val="en-US"/>
        </w:rPr>
      </w:pPr>
      <w:r w:rsidRPr="00C022D7">
        <w:rPr>
          <w:rFonts w:ascii="Arial" w:hAnsi="Arial" w:cs="Arial"/>
          <w:sz w:val="24"/>
          <w:szCs w:val="24"/>
        </w:rPr>
        <w:fldChar w:fldCharType="begin" w:fldLock="1"/>
      </w:r>
      <w:r w:rsidRPr="00C022D7">
        <w:rPr>
          <w:rFonts w:ascii="Arial" w:hAnsi="Arial" w:cs="Arial"/>
          <w:sz w:val="24"/>
          <w:szCs w:val="24"/>
          <w:lang w:val="en-US"/>
        </w:rPr>
        <w:instrText xml:space="preserve">ADDIN Mendeley Bibliography CSL_BIBLIOGRAPHY </w:instrText>
      </w:r>
      <w:r w:rsidRPr="00C022D7">
        <w:rPr>
          <w:rFonts w:ascii="Arial" w:hAnsi="Arial" w:cs="Arial"/>
          <w:sz w:val="24"/>
          <w:szCs w:val="24"/>
        </w:rPr>
        <w:fldChar w:fldCharType="separate"/>
      </w:r>
      <w:r w:rsidRPr="00C022D7">
        <w:rPr>
          <w:rFonts w:ascii="Arial" w:hAnsi="Arial" w:cs="Arial"/>
          <w:sz w:val="24"/>
          <w:szCs w:val="24"/>
          <w:lang w:val="en-US"/>
        </w:rPr>
        <w:t>[1]</w:t>
      </w:r>
      <w:r w:rsidRPr="00C022D7">
        <w:rPr>
          <w:rFonts w:ascii="Arial" w:hAnsi="Arial" w:cs="Arial"/>
          <w:sz w:val="24"/>
          <w:szCs w:val="24"/>
          <w:lang w:val="en-US"/>
        </w:rPr>
        <w:tab/>
      </w:r>
      <w:r w:rsidRPr="00C022D7">
        <w:rPr>
          <w:rFonts w:ascii="Arial" w:hAnsi="Arial" w:cs="Arial"/>
          <w:sz w:val="24"/>
          <w:szCs w:val="24"/>
          <w:lang w:val="en-US"/>
        </w:rPr>
        <w:t>S. Khomenko et al., “Spatial and sector-specific contributions of emissions to ambient air pollution and mortality in European cities: a health impact assessment,” Lancet Public Heal., vol. 8, no. 7, pp. e546–e558, 2023.</w:t>
      </w:r>
    </w:p>
    <w:p w:rsidRPr="00C022D7" w:rsidR="00C022D7" w:rsidP="00C022D7" w:rsidRDefault="00C022D7" w14:paraId="1B0FDDC6" w14:textId="77777777">
      <w:pPr>
        <w:widowControl w:val="0"/>
        <w:adjustRightInd w:val="0"/>
        <w:spacing w:line="360" w:lineRule="auto"/>
        <w:ind w:left="640" w:hanging="640"/>
        <w:jc w:val="both"/>
        <w:rPr>
          <w:rFonts w:ascii="Arial" w:hAnsi="Arial" w:cs="Arial"/>
          <w:sz w:val="24"/>
          <w:szCs w:val="24"/>
          <w:lang w:val="en-US"/>
        </w:rPr>
      </w:pPr>
      <w:r w:rsidRPr="00C022D7">
        <w:rPr>
          <w:rFonts w:ascii="Arial" w:hAnsi="Arial" w:cs="Arial"/>
          <w:sz w:val="24"/>
          <w:szCs w:val="24"/>
          <w:lang w:val="en-US"/>
        </w:rPr>
        <w:t>[2]</w:t>
      </w:r>
      <w:r w:rsidRPr="00C022D7">
        <w:rPr>
          <w:rFonts w:ascii="Arial" w:hAnsi="Arial" w:cs="Arial"/>
          <w:sz w:val="24"/>
          <w:szCs w:val="24"/>
          <w:lang w:val="en-US"/>
        </w:rPr>
        <w:tab/>
      </w:r>
      <w:r w:rsidRPr="00C022D7">
        <w:rPr>
          <w:rFonts w:ascii="Arial" w:hAnsi="Arial" w:cs="Arial"/>
          <w:sz w:val="24"/>
          <w:szCs w:val="24"/>
          <w:lang w:val="en-US"/>
        </w:rPr>
        <w:t>Y. Lu et al., “Insight into the Photocatalytic Removal of NO in Air over Nanocrystalline Bi</w:t>
      </w:r>
      <w:r w:rsidRPr="00C022D7">
        <w:rPr>
          <w:rFonts w:ascii="Arial" w:hAnsi="Arial" w:cs="Arial"/>
          <w:sz w:val="24"/>
          <w:szCs w:val="24"/>
          <w:vertAlign w:val="subscript"/>
          <w:lang w:val="en-US"/>
        </w:rPr>
        <w:t>2</w:t>
      </w:r>
      <w:r w:rsidRPr="00C022D7">
        <w:rPr>
          <w:rFonts w:ascii="Arial" w:hAnsi="Arial" w:cs="Arial"/>
          <w:sz w:val="24"/>
          <w:szCs w:val="24"/>
          <w:lang w:val="en-US"/>
        </w:rPr>
        <w:t>Sn</w:t>
      </w:r>
      <w:r w:rsidRPr="00C022D7">
        <w:rPr>
          <w:rFonts w:ascii="Arial" w:hAnsi="Arial" w:cs="Arial"/>
          <w:sz w:val="24"/>
          <w:szCs w:val="24"/>
          <w:vertAlign w:val="subscript"/>
          <w:lang w:val="en-US"/>
        </w:rPr>
        <w:t>2</w:t>
      </w:r>
      <w:r w:rsidRPr="00C022D7">
        <w:rPr>
          <w:rFonts w:ascii="Arial" w:hAnsi="Arial" w:cs="Arial"/>
          <w:sz w:val="24"/>
          <w:szCs w:val="24"/>
          <w:lang w:val="en-US"/>
        </w:rPr>
        <w:t>O</w:t>
      </w:r>
      <w:r w:rsidRPr="00C022D7">
        <w:rPr>
          <w:rFonts w:ascii="Arial" w:hAnsi="Arial" w:cs="Arial"/>
          <w:sz w:val="24"/>
          <w:szCs w:val="24"/>
          <w:vertAlign w:val="subscript"/>
          <w:lang w:val="en-US"/>
        </w:rPr>
        <w:t>7</w:t>
      </w:r>
      <w:r w:rsidRPr="00C022D7">
        <w:rPr>
          <w:rFonts w:ascii="Arial" w:hAnsi="Arial" w:cs="Arial"/>
          <w:sz w:val="24"/>
          <w:szCs w:val="24"/>
          <w:lang w:val="en-US"/>
        </w:rPr>
        <w:t xml:space="preserve"> under Simulated Solar Light,” Ind. Eng. Chem. Res., vol. 55, no. 40, pp. 10609–10617, 2016.</w:t>
      </w:r>
    </w:p>
    <w:p w:rsidRPr="00C022D7" w:rsidR="00C022D7" w:rsidP="00C022D7" w:rsidRDefault="00C022D7" w14:paraId="4ABBC866" w14:textId="77777777">
      <w:pPr>
        <w:widowControl w:val="0"/>
        <w:adjustRightInd w:val="0"/>
        <w:spacing w:line="360" w:lineRule="auto"/>
        <w:ind w:left="640" w:hanging="640"/>
        <w:jc w:val="both"/>
        <w:rPr>
          <w:rFonts w:ascii="Arial" w:hAnsi="Arial" w:cs="Arial"/>
          <w:sz w:val="24"/>
          <w:szCs w:val="24"/>
          <w:lang w:val="en-US"/>
        </w:rPr>
      </w:pPr>
      <w:r w:rsidRPr="00C022D7">
        <w:rPr>
          <w:rFonts w:ascii="Arial" w:hAnsi="Arial" w:cs="Arial"/>
          <w:sz w:val="24"/>
          <w:szCs w:val="24"/>
          <w:lang w:val="en-US"/>
        </w:rPr>
        <w:t>[3]</w:t>
      </w:r>
      <w:r w:rsidRPr="00C022D7">
        <w:rPr>
          <w:rFonts w:ascii="Arial" w:hAnsi="Arial" w:cs="Arial"/>
          <w:sz w:val="24"/>
          <w:szCs w:val="24"/>
          <w:lang w:val="en-US"/>
        </w:rPr>
        <w:tab/>
      </w:r>
      <w:r w:rsidRPr="00C022D7">
        <w:rPr>
          <w:rFonts w:ascii="Arial" w:hAnsi="Arial" w:cs="Arial"/>
          <w:sz w:val="24"/>
          <w:szCs w:val="24"/>
          <w:lang w:val="en-US"/>
        </w:rPr>
        <w:t>J. González-Martín, N. Kraakman, C. Pérez, and R. Lebrero, “A State-of-the-Art Review on Indoor Air Pollution and the Potential of Biotechnologies for Indoor Air Purification 2,” pp. 1–59, 2021.</w:t>
      </w:r>
    </w:p>
    <w:p w:rsidRPr="00C022D7" w:rsidR="00C022D7" w:rsidP="00C022D7" w:rsidRDefault="00C022D7" w14:paraId="2103D83C" w14:textId="77777777">
      <w:pPr>
        <w:widowControl w:val="0"/>
        <w:adjustRightInd w:val="0"/>
        <w:spacing w:line="360" w:lineRule="auto"/>
        <w:ind w:left="640" w:hanging="640"/>
        <w:jc w:val="both"/>
        <w:rPr>
          <w:rFonts w:ascii="Arial" w:hAnsi="Arial" w:cs="Arial"/>
          <w:sz w:val="24"/>
          <w:szCs w:val="24"/>
          <w:lang w:val="en-US"/>
        </w:rPr>
      </w:pPr>
      <w:r w:rsidRPr="00C022D7">
        <w:rPr>
          <w:rFonts w:ascii="Arial" w:hAnsi="Arial" w:cs="Arial"/>
          <w:sz w:val="24"/>
          <w:szCs w:val="24"/>
          <w:lang w:val="en-US"/>
        </w:rPr>
        <w:t>[4]</w:t>
      </w:r>
      <w:r w:rsidRPr="00C022D7">
        <w:rPr>
          <w:rFonts w:ascii="Arial" w:hAnsi="Arial" w:cs="Arial"/>
          <w:sz w:val="24"/>
          <w:szCs w:val="24"/>
          <w:lang w:val="en-US"/>
        </w:rPr>
        <w:tab/>
      </w:r>
      <w:r w:rsidRPr="00C022D7">
        <w:rPr>
          <w:rFonts w:ascii="Arial" w:hAnsi="Arial" w:cs="Arial"/>
          <w:sz w:val="24"/>
          <w:szCs w:val="24"/>
          <w:lang w:val="en-US"/>
        </w:rPr>
        <w:t>P. Spiru and P. L. Simona, “A review on interactions between energy performance of the buildings, outdoor air pollution and the indoor air quality,” Energy Procedia, vol. 128, pp. 179–186, 2017.</w:t>
      </w:r>
    </w:p>
    <w:p w:rsidRPr="00C022D7" w:rsidR="00C022D7" w:rsidP="00C022D7" w:rsidRDefault="00C022D7" w14:paraId="2B8B2DD8" w14:textId="77777777">
      <w:pPr>
        <w:widowControl w:val="0"/>
        <w:adjustRightInd w:val="0"/>
        <w:spacing w:line="360" w:lineRule="auto"/>
        <w:ind w:left="640" w:hanging="640"/>
        <w:jc w:val="both"/>
        <w:rPr>
          <w:rFonts w:ascii="Arial" w:hAnsi="Arial" w:cs="Arial"/>
          <w:sz w:val="24"/>
          <w:szCs w:val="24"/>
          <w:lang w:val="en-US"/>
        </w:rPr>
      </w:pPr>
      <w:r w:rsidRPr="00C022D7">
        <w:rPr>
          <w:rFonts w:ascii="Arial" w:hAnsi="Arial" w:cs="Arial"/>
          <w:sz w:val="24"/>
          <w:szCs w:val="24"/>
          <w:lang w:val="en-US"/>
        </w:rPr>
        <w:t>[5]</w:t>
      </w:r>
      <w:r w:rsidRPr="00C022D7">
        <w:rPr>
          <w:rFonts w:ascii="Arial" w:hAnsi="Arial" w:cs="Arial"/>
          <w:sz w:val="24"/>
          <w:szCs w:val="24"/>
          <w:lang w:val="en-US"/>
        </w:rPr>
        <w:tab/>
      </w:r>
      <w:r w:rsidRPr="00C022D7">
        <w:rPr>
          <w:rFonts w:ascii="Arial" w:hAnsi="Arial" w:cs="Arial"/>
          <w:sz w:val="24"/>
          <w:szCs w:val="24"/>
          <w:lang w:val="en-US"/>
        </w:rPr>
        <w:t xml:space="preserve">V. P. Singh, D. Mishra, E. N. </w:t>
      </w:r>
      <w:r w:rsidRPr="00C022D7">
        <w:rPr>
          <w:rFonts w:ascii="Arial" w:hAnsi="Arial" w:cs="Arial"/>
          <w:sz w:val="24"/>
          <w:szCs w:val="24"/>
          <w:lang w:val="en-US"/>
        </w:rPr>
        <w:t>Kabachkov, Y. M. Shul’ga, and R. Vaish, “The characteristics of BiOCl/Plaster of Paris composites and their photocatalytic performance under visible light illumination for self-cleaning,” Mater. Sci. Energy Technol., vol. 3, pp. 299–307, 2020.</w:t>
      </w:r>
    </w:p>
    <w:p w:rsidRPr="00C022D7" w:rsidR="00C022D7" w:rsidP="00C022D7" w:rsidRDefault="00C022D7" w14:paraId="156A8C37" w14:textId="77777777">
      <w:pPr>
        <w:widowControl w:val="0"/>
        <w:adjustRightInd w:val="0"/>
        <w:spacing w:line="360" w:lineRule="auto"/>
        <w:ind w:left="640" w:hanging="640"/>
        <w:jc w:val="both"/>
        <w:rPr>
          <w:rFonts w:ascii="Arial" w:hAnsi="Arial" w:cs="Arial"/>
          <w:sz w:val="24"/>
          <w:szCs w:val="24"/>
          <w:lang w:val="en-US"/>
        </w:rPr>
      </w:pPr>
      <w:r w:rsidRPr="00C022D7">
        <w:rPr>
          <w:rFonts w:ascii="Arial" w:hAnsi="Arial" w:cs="Arial"/>
          <w:sz w:val="24"/>
          <w:szCs w:val="24"/>
          <w:lang w:val="en-US"/>
        </w:rPr>
        <w:t>[6]</w:t>
      </w:r>
      <w:r w:rsidRPr="00C022D7">
        <w:rPr>
          <w:rFonts w:ascii="Arial" w:hAnsi="Arial" w:cs="Arial"/>
          <w:sz w:val="24"/>
          <w:szCs w:val="24"/>
          <w:lang w:val="en-US"/>
        </w:rPr>
        <w:tab/>
      </w:r>
      <w:r w:rsidRPr="00C022D7">
        <w:rPr>
          <w:rFonts w:ascii="Arial" w:hAnsi="Arial" w:cs="Arial"/>
          <w:sz w:val="24"/>
          <w:szCs w:val="24"/>
          <w:lang w:val="en-US"/>
        </w:rPr>
        <w:t>M. Janus, J. Zatorska, K. Zając, E. Kusiak-Nejman, A. Czyżewski, and A. W. Morawski, “The mechanical and photocatalytic properties of modified gypsum materials,” Mater. Sci. Eng. B, vol. 236–237, no. November, pp. 1–9, 2018.</w:t>
      </w:r>
    </w:p>
    <w:p w:rsidRPr="00C022D7" w:rsidR="00C022D7" w:rsidP="00C022D7" w:rsidRDefault="00C022D7" w14:paraId="3391DE2B" w14:textId="77777777">
      <w:pPr>
        <w:widowControl w:val="0"/>
        <w:adjustRightInd w:val="0"/>
        <w:spacing w:line="360" w:lineRule="auto"/>
        <w:ind w:left="640" w:hanging="640"/>
        <w:jc w:val="both"/>
        <w:rPr>
          <w:rFonts w:ascii="Arial" w:hAnsi="Arial" w:cs="Arial"/>
          <w:sz w:val="24"/>
          <w:szCs w:val="24"/>
          <w:lang w:val="en-US"/>
        </w:rPr>
      </w:pPr>
    </w:p>
    <w:p w:rsidRPr="00C022D7" w:rsidR="00C022D7" w:rsidP="00C022D7" w:rsidRDefault="00C022D7" w14:paraId="7E04D655" w14:textId="77777777">
      <w:pPr>
        <w:widowControl w:val="0"/>
        <w:adjustRightInd w:val="0"/>
        <w:spacing w:line="360" w:lineRule="auto"/>
        <w:ind w:left="640" w:hanging="640"/>
        <w:jc w:val="both"/>
        <w:rPr>
          <w:rFonts w:ascii="Arial" w:hAnsi="Arial" w:cs="Arial"/>
          <w:sz w:val="24"/>
          <w:szCs w:val="24"/>
        </w:rPr>
      </w:pPr>
      <w:r w:rsidRPr="00C022D7">
        <w:rPr>
          <w:rFonts w:ascii="Arial" w:hAnsi="Arial" w:cs="Arial"/>
          <w:sz w:val="24"/>
          <w:szCs w:val="24"/>
          <w:lang w:val="en-US"/>
        </w:rPr>
        <w:t>[7]</w:t>
      </w:r>
      <w:r w:rsidRPr="00C022D7">
        <w:rPr>
          <w:rFonts w:ascii="Arial" w:hAnsi="Arial" w:cs="Arial"/>
          <w:sz w:val="24"/>
          <w:szCs w:val="24"/>
          <w:lang w:val="en-US"/>
        </w:rPr>
        <w:tab/>
      </w:r>
      <w:r w:rsidRPr="00C022D7">
        <w:rPr>
          <w:rFonts w:ascii="Arial" w:hAnsi="Arial" w:cs="Arial"/>
          <w:sz w:val="24"/>
          <w:szCs w:val="24"/>
          <w:lang w:val="en-US"/>
        </w:rPr>
        <w:t>M. Janus, K. Bubacz, J. Zatorska, E. Kusiak-Nejman, A. Czyzewski, and A. W. Morawski, “NO</w:t>
      </w:r>
      <w:r w:rsidRPr="00C022D7">
        <w:rPr>
          <w:rFonts w:ascii="Arial" w:hAnsi="Arial" w:cs="Arial"/>
          <w:sz w:val="24"/>
          <w:szCs w:val="24"/>
          <w:vertAlign w:val="subscript"/>
          <w:lang w:val="en-US"/>
        </w:rPr>
        <w:t>x</w:t>
      </w:r>
      <w:r w:rsidRPr="00C022D7">
        <w:rPr>
          <w:rFonts w:ascii="Arial" w:hAnsi="Arial" w:cs="Arial"/>
          <w:sz w:val="24"/>
          <w:szCs w:val="24"/>
          <w:lang w:val="en-US"/>
        </w:rPr>
        <w:t xml:space="preserve"> photocatalytic degradation on gypsum plates modified by TiO</w:t>
      </w:r>
      <w:r w:rsidRPr="00C022D7">
        <w:rPr>
          <w:rFonts w:ascii="Arial" w:hAnsi="Arial" w:cs="Arial"/>
          <w:sz w:val="24"/>
          <w:szCs w:val="24"/>
          <w:vertAlign w:val="subscript"/>
          <w:lang w:val="en-US"/>
        </w:rPr>
        <w:t>2</w:t>
      </w:r>
      <w:r w:rsidRPr="00C022D7">
        <w:rPr>
          <w:rFonts w:ascii="Arial" w:hAnsi="Arial" w:cs="Arial"/>
          <w:sz w:val="24"/>
          <w:szCs w:val="24"/>
          <w:lang w:val="en-US"/>
        </w:rPr>
        <w:t xml:space="preserve">-N, C photocatalysts,” Polish J. Chem. </w:t>
      </w:r>
      <w:r w:rsidRPr="00C022D7">
        <w:rPr>
          <w:rFonts w:ascii="Arial" w:hAnsi="Arial" w:cs="Arial"/>
          <w:sz w:val="24"/>
          <w:szCs w:val="24"/>
        </w:rPr>
        <w:t>Technol., vol. 17, no. 3, pp. 8–12, 2015.</w:t>
      </w:r>
    </w:p>
    <w:p w:rsidRPr="00D14F93" w:rsidR="00491CDE" w:rsidP="00C022D7" w:rsidRDefault="00C022D7" w14:paraId="5465F51F" w14:textId="2A2315A4">
      <w:pPr>
        <w:spacing w:line="360" w:lineRule="auto"/>
        <w:jc w:val="both"/>
        <w:rPr>
          <w:rFonts w:ascii="Arial" w:hAnsi="Arial"/>
          <w:b/>
          <w:sz w:val="24"/>
          <w:szCs w:val="24"/>
        </w:rPr>
      </w:pPr>
      <w:r w:rsidRPr="00C022D7">
        <w:rPr>
          <w:rFonts w:ascii="Arial" w:hAnsi="Arial" w:cs="Arial"/>
          <w:sz w:val="24"/>
          <w:szCs w:val="24"/>
        </w:rPr>
        <w:fldChar w:fldCharType="end"/>
      </w:r>
      <w:r w:rsidRPr="00D14F93" w:rsidR="001E1C58">
        <w:rPr>
          <w:rFonts w:ascii="Arial" w:hAnsi="Arial"/>
          <w:bCs/>
          <w:sz w:val="24"/>
          <w:szCs w:val="24"/>
        </w:rPr>
        <w:t xml:space="preserve"> </w:t>
      </w:r>
    </w:p>
    <w:p w:rsidRPr="00D14F93" w:rsidR="00316B5D" w:rsidP="00D14F93" w:rsidRDefault="00316B5D" w14:paraId="65A95432" w14:textId="77777777">
      <w:pPr>
        <w:pStyle w:val="Resumen"/>
        <w:spacing w:line="360" w:lineRule="auto"/>
        <w:ind w:firstLine="0"/>
        <w:jc w:val="left"/>
        <w:rPr>
          <w:rFonts w:ascii="Arial" w:hAnsi="Arial"/>
          <w:b w:val="0"/>
          <w:color w:val="auto"/>
          <w:sz w:val="24"/>
          <w:szCs w:val="24"/>
        </w:rPr>
      </w:pPr>
    </w:p>
    <w:sectPr w:rsidRPr="00D14F93" w:rsidR="00316B5D" w:rsidSect="009D1E27">
      <w:type w:val="continuous"/>
      <w:pgSz w:w="12240" w:h="15840" w:orient="portrait" w:code="1"/>
      <w:pgMar w:top="1417" w:right="1701" w:bottom="1417" w:left="1701" w:header="576" w:footer="720" w:gutter="0"/>
      <w:cols w:space="720" w:num="2"/>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D1E27" w:rsidRDefault="009D1E27" w14:paraId="589D1CBD" w14:textId="77777777">
      <w:r>
        <w:separator/>
      </w:r>
    </w:p>
  </w:endnote>
  <w:endnote w:type="continuationSeparator" w:id="0">
    <w:p w:rsidR="009D1E27" w:rsidRDefault="009D1E27" w14:paraId="0AF1A02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767DB" w:rsidRDefault="004767DB" w14:paraId="0E5E63F7" w14:textId="77777777">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D1E27" w:rsidRDefault="009D1E27" w14:paraId="7A800898" w14:textId="77777777">
      <w:r>
        <w:separator/>
      </w:r>
    </w:p>
  </w:footnote>
  <w:footnote w:type="continuationSeparator" w:id="0">
    <w:p w:rsidR="009D1E27" w:rsidRDefault="009D1E27" w14:paraId="73A44D83"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053D5"/>
    <w:multiLevelType w:val="hybridMultilevel"/>
    <w:tmpl w:val="04989C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CD61F7"/>
    <w:multiLevelType w:val="hybridMultilevel"/>
    <w:tmpl w:val="D53AB6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E10D6B"/>
    <w:multiLevelType w:val="hybridMultilevel"/>
    <w:tmpl w:val="5C5EDD46"/>
    <w:lvl w:ilvl="0" w:tplc="427295EE">
      <w:start w:val="1"/>
      <w:numFmt w:val="decimal"/>
      <w:lvlText w:val="%1."/>
      <w:lvlJc w:val="left"/>
      <w:pPr>
        <w:ind w:left="720" w:hanging="360"/>
      </w:pPr>
      <w:rPr>
        <w:rFonts w:ascii="Times New Roman" w:hAnsi="Times New Roman" w:eastAsia="Calibri"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BF23DA"/>
    <w:multiLevelType w:val="hybridMultilevel"/>
    <w:tmpl w:val="AFF61C9A"/>
    <w:lvl w:ilvl="0" w:tplc="0C0A000F">
      <w:start w:val="1"/>
      <w:numFmt w:val="decimal"/>
      <w:lvlText w:val="%1."/>
      <w:lvlJc w:val="left"/>
      <w:pPr>
        <w:ind w:left="720" w:hanging="360"/>
      </w:pPr>
      <w:rPr>
        <w:rFonts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3D46BE0"/>
    <w:multiLevelType w:val="hybridMultilevel"/>
    <w:tmpl w:val="7D0A4F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C9C49FE"/>
    <w:multiLevelType w:val="hybridMultilevel"/>
    <w:tmpl w:val="E3664040"/>
    <w:lvl w:ilvl="0" w:tplc="080A000F">
      <w:start w:val="1"/>
      <w:numFmt w:val="decimal"/>
      <w:lvlText w:val="%1."/>
      <w:lvlJc w:val="left"/>
      <w:pPr>
        <w:ind w:left="92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9C54C7"/>
    <w:multiLevelType w:val="hybridMultilevel"/>
    <w:tmpl w:val="225A30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1D8022C"/>
    <w:multiLevelType w:val="hybridMultilevel"/>
    <w:tmpl w:val="068C6B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B8043B"/>
    <w:multiLevelType w:val="hybridMultilevel"/>
    <w:tmpl w:val="D3669A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D13888"/>
    <w:multiLevelType w:val="hybridMultilevel"/>
    <w:tmpl w:val="2D8EE9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E010F02"/>
    <w:multiLevelType w:val="multilevel"/>
    <w:tmpl w:val="81CE1A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ascii="Times New Roman" w:hAnsi="Times New Roman"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4380DBE"/>
    <w:multiLevelType w:val="multilevel"/>
    <w:tmpl w:val="E1505124"/>
    <w:lvl w:ilvl="0">
      <w:start w:val="1"/>
      <w:numFmt w:val="decimal"/>
      <w:lvlText w:val="%1."/>
      <w:lvlJc w:val="left"/>
      <w:pPr>
        <w:ind w:left="630" w:hanging="360"/>
      </w:pPr>
      <w:rPr>
        <w:rFonts w:hint="default"/>
      </w:rPr>
    </w:lvl>
    <w:lvl w:ilvl="1">
      <w:start w:val="1"/>
      <w:numFmt w:val="decimal"/>
      <w:isLgl/>
      <w:lvlText w:val="%1.%2."/>
      <w:lvlJc w:val="left"/>
      <w:pPr>
        <w:ind w:left="990" w:hanging="36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2070" w:hanging="720"/>
      </w:pPr>
      <w:rPr>
        <w:rFonts w:hint="default"/>
      </w:rPr>
    </w:lvl>
    <w:lvl w:ilvl="4">
      <w:start w:val="1"/>
      <w:numFmt w:val="decimal"/>
      <w:isLgl/>
      <w:lvlText w:val="%1.%2.%3.%4.%5."/>
      <w:lvlJc w:val="left"/>
      <w:pPr>
        <w:ind w:left="2790" w:hanging="1080"/>
      </w:pPr>
      <w:rPr>
        <w:rFonts w:hint="default"/>
      </w:rPr>
    </w:lvl>
    <w:lvl w:ilvl="5">
      <w:start w:val="1"/>
      <w:numFmt w:val="decimal"/>
      <w:isLgl/>
      <w:lvlText w:val="%1.%2.%3.%4.%5.%6."/>
      <w:lvlJc w:val="left"/>
      <w:pPr>
        <w:ind w:left="3150" w:hanging="1080"/>
      </w:pPr>
      <w:rPr>
        <w:rFonts w:hint="default"/>
      </w:rPr>
    </w:lvl>
    <w:lvl w:ilvl="6">
      <w:start w:val="1"/>
      <w:numFmt w:val="decimal"/>
      <w:isLgl/>
      <w:lvlText w:val="%1.%2.%3.%4.%5.%6.%7."/>
      <w:lvlJc w:val="left"/>
      <w:pPr>
        <w:ind w:left="3510" w:hanging="1080"/>
      </w:pPr>
      <w:rPr>
        <w:rFonts w:hint="default"/>
      </w:rPr>
    </w:lvl>
    <w:lvl w:ilvl="7">
      <w:start w:val="1"/>
      <w:numFmt w:val="decimal"/>
      <w:isLgl/>
      <w:lvlText w:val="%1.%2.%3.%4.%5.%6.%7.%8."/>
      <w:lvlJc w:val="left"/>
      <w:pPr>
        <w:ind w:left="4230" w:hanging="1440"/>
      </w:pPr>
      <w:rPr>
        <w:rFonts w:hint="default"/>
      </w:rPr>
    </w:lvl>
    <w:lvl w:ilvl="8">
      <w:start w:val="1"/>
      <w:numFmt w:val="decimal"/>
      <w:isLgl/>
      <w:lvlText w:val="%1.%2.%3.%4.%5.%6.%7.%8.%9."/>
      <w:lvlJc w:val="left"/>
      <w:pPr>
        <w:ind w:left="4590" w:hanging="1440"/>
      </w:pPr>
      <w:rPr>
        <w:rFonts w:hint="default"/>
      </w:rPr>
    </w:lvl>
  </w:abstractNum>
  <w:abstractNum w:abstractNumId="12" w15:restartNumberingAfterBreak="0">
    <w:nsid w:val="383B0012"/>
    <w:multiLevelType w:val="hybridMultilevel"/>
    <w:tmpl w:val="B6521B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A050AE2"/>
    <w:multiLevelType w:val="hybridMultilevel"/>
    <w:tmpl w:val="4C6E9F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A256812"/>
    <w:multiLevelType w:val="hybridMultilevel"/>
    <w:tmpl w:val="542A25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9FC1209"/>
    <w:multiLevelType w:val="hybridMultilevel"/>
    <w:tmpl w:val="AB2684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D3E150E"/>
    <w:multiLevelType w:val="hybridMultilevel"/>
    <w:tmpl w:val="FE049D8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E8450AD"/>
    <w:multiLevelType w:val="hybridMultilevel"/>
    <w:tmpl w:val="7BEEE5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5B01032E"/>
    <w:multiLevelType w:val="hybridMultilevel"/>
    <w:tmpl w:val="5C7ED4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D8A2F71"/>
    <w:multiLevelType w:val="hybridMultilevel"/>
    <w:tmpl w:val="ABCAF3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922780F"/>
    <w:multiLevelType w:val="hybridMultilevel"/>
    <w:tmpl w:val="2366767A"/>
    <w:lvl w:ilvl="0" w:tplc="DC9CDDEC">
      <w:start w:val="1"/>
      <w:numFmt w:val="decimal"/>
      <w:lvlText w:val="%1."/>
      <w:lvlJc w:val="left"/>
      <w:pPr>
        <w:ind w:left="792" w:hanging="360"/>
      </w:pPr>
      <w:rPr>
        <w:rFonts w:hint="default"/>
      </w:rPr>
    </w:lvl>
    <w:lvl w:ilvl="1" w:tplc="0C0A0019" w:tentative="1">
      <w:start w:val="1"/>
      <w:numFmt w:val="lowerLetter"/>
      <w:lvlText w:val="%2."/>
      <w:lvlJc w:val="left"/>
      <w:pPr>
        <w:ind w:left="1512" w:hanging="360"/>
      </w:pPr>
    </w:lvl>
    <w:lvl w:ilvl="2" w:tplc="0C0A001B" w:tentative="1">
      <w:start w:val="1"/>
      <w:numFmt w:val="lowerRoman"/>
      <w:lvlText w:val="%3."/>
      <w:lvlJc w:val="right"/>
      <w:pPr>
        <w:ind w:left="2232" w:hanging="180"/>
      </w:pPr>
    </w:lvl>
    <w:lvl w:ilvl="3" w:tplc="0C0A000F" w:tentative="1">
      <w:start w:val="1"/>
      <w:numFmt w:val="decimal"/>
      <w:lvlText w:val="%4."/>
      <w:lvlJc w:val="left"/>
      <w:pPr>
        <w:ind w:left="2952" w:hanging="360"/>
      </w:pPr>
    </w:lvl>
    <w:lvl w:ilvl="4" w:tplc="0C0A0019" w:tentative="1">
      <w:start w:val="1"/>
      <w:numFmt w:val="lowerLetter"/>
      <w:lvlText w:val="%5."/>
      <w:lvlJc w:val="left"/>
      <w:pPr>
        <w:ind w:left="3672" w:hanging="360"/>
      </w:pPr>
    </w:lvl>
    <w:lvl w:ilvl="5" w:tplc="0C0A001B" w:tentative="1">
      <w:start w:val="1"/>
      <w:numFmt w:val="lowerRoman"/>
      <w:lvlText w:val="%6."/>
      <w:lvlJc w:val="right"/>
      <w:pPr>
        <w:ind w:left="4392" w:hanging="180"/>
      </w:pPr>
    </w:lvl>
    <w:lvl w:ilvl="6" w:tplc="0C0A000F" w:tentative="1">
      <w:start w:val="1"/>
      <w:numFmt w:val="decimal"/>
      <w:lvlText w:val="%7."/>
      <w:lvlJc w:val="left"/>
      <w:pPr>
        <w:ind w:left="5112" w:hanging="360"/>
      </w:pPr>
    </w:lvl>
    <w:lvl w:ilvl="7" w:tplc="0C0A0019" w:tentative="1">
      <w:start w:val="1"/>
      <w:numFmt w:val="lowerLetter"/>
      <w:lvlText w:val="%8."/>
      <w:lvlJc w:val="left"/>
      <w:pPr>
        <w:ind w:left="5832" w:hanging="360"/>
      </w:pPr>
    </w:lvl>
    <w:lvl w:ilvl="8" w:tplc="0C0A001B" w:tentative="1">
      <w:start w:val="1"/>
      <w:numFmt w:val="lowerRoman"/>
      <w:lvlText w:val="%9."/>
      <w:lvlJc w:val="right"/>
      <w:pPr>
        <w:ind w:left="6552" w:hanging="180"/>
      </w:pPr>
    </w:lvl>
  </w:abstractNum>
  <w:abstractNum w:abstractNumId="21" w15:restartNumberingAfterBreak="0">
    <w:nsid w:val="6D801C9E"/>
    <w:multiLevelType w:val="hybridMultilevel"/>
    <w:tmpl w:val="094C16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E0177AD"/>
    <w:multiLevelType w:val="hybridMultilevel"/>
    <w:tmpl w:val="ED86C7E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6F9735E2"/>
    <w:multiLevelType w:val="hybridMultilevel"/>
    <w:tmpl w:val="9B105E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9785136"/>
    <w:multiLevelType w:val="hybridMultilevel"/>
    <w:tmpl w:val="068C6B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CD83241"/>
    <w:multiLevelType w:val="hybridMultilevel"/>
    <w:tmpl w:val="D3C6DF3A"/>
    <w:lvl w:ilvl="0" w:tplc="080A000F">
      <w:start w:val="1"/>
      <w:numFmt w:val="decimal"/>
      <w:lvlText w:val="%1."/>
      <w:lvlJc w:val="left"/>
      <w:pPr>
        <w:ind w:left="92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30200573">
    <w:abstractNumId w:val="18"/>
  </w:num>
  <w:num w:numId="2" w16cid:durableId="2106882426">
    <w:abstractNumId w:val="11"/>
  </w:num>
  <w:num w:numId="3" w16cid:durableId="1813447186">
    <w:abstractNumId w:val="9"/>
  </w:num>
  <w:num w:numId="4" w16cid:durableId="50614317">
    <w:abstractNumId w:val="2"/>
  </w:num>
  <w:num w:numId="5" w16cid:durableId="1752392208">
    <w:abstractNumId w:val="25"/>
  </w:num>
  <w:num w:numId="6" w16cid:durableId="1844708709">
    <w:abstractNumId w:val="6"/>
  </w:num>
  <w:num w:numId="7" w16cid:durableId="852720257">
    <w:abstractNumId w:val="12"/>
  </w:num>
  <w:num w:numId="8" w16cid:durableId="1082143085">
    <w:abstractNumId w:val="24"/>
  </w:num>
  <w:num w:numId="9" w16cid:durableId="133109022">
    <w:abstractNumId w:val="4"/>
  </w:num>
  <w:num w:numId="10" w16cid:durableId="881097192">
    <w:abstractNumId w:val="17"/>
  </w:num>
  <w:num w:numId="11" w16cid:durableId="753165933">
    <w:abstractNumId w:val="23"/>
  </w:num>
  <w:num w:numId="12" w16cid:durableId="297494680">
    <w:abstractNumId w:val="8"/>
  </w:num>
  <w:num w:numId="13" w16cid:durableId="2138257031">
    <w:abstractNumId w:val="7"/>
  </w:num>
  <w:num w:numId="14" w16cid:durableId="1300571258">
    <w:abstractNumId w:val="5"/>
  </w:num>
  <w:num w:numId="15" w16cid:durableId="368799555">
    <w:abstractNumId w:val="16"/>
  </w:num>
  <w:num w:numId="16" w16cid:durableId="1096748013">
    <w:abstractNumId w:val="13"/>
  </w:num>
  <w:num w:numId="17" w16cid:durableId="318654631">
    <w:abstractNumId w:val="19"/>
  </w:num>
  <w:num w:numId="18" w16cid:durableId="1373503798">
    <w:abstractNumId w:val="1"/>
  </w:num>
  <w:num w:numId="19" w16cid:durableId="396634423">
    <w:abstractNumId w:val="14"/>
  </w:num>
  <w:num w:numId="20" w16cid:durableId="36241902">
    <w:abstractNumId w:val="15"/>
  </w:num>
  <w:num w:numId="21" w16cid:durableId="1602057871">
    <w:abstractNumId w:val="22"/>
  </w:num>
  <w:num w:numId="22" w16cid:durableId="1974209463">
    <w:abstractNumId w:val="3"/>
  </w:num>
  <w:num w:numId="23" w16cid:durableId="151139336">
    <w:abstractNumId w:val="20"/>
  </w:num>
  <w:num w:numId="24" w16cid:durableId="574896091">
    <w:abstractNumId w:val="10"/>
  </w:num>
  <w:num w:numId="25" w16cid:durableId="469444238">
    <w:abstractNumId w:val="21"/>
  </w:num>
  <w:num w:numId="26" w16cid:durableId="77948568">
    <w:abstractNumId w:val="0"/>
  </w:num>
  <w:numIdMacAtCleanup w:val="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43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24C"/>
    <w:rsid w:val="000051FD"/>
    <w:rsid w:val="00020CA1"/>
    <w:rsid w:val="00023210"/>
    <w:rsid w:val="000278DF"/>
    <w:rsid w:val="0003031F"/>
    <w:rsid w:val="000306AC"/>
    <w:rsid w:val="00037B67"/>
    <w:rsid w:val="00045F4D"/>
    <w:rsid w:val="00046E66"/>
    <w:rsid w:val="00051A8F"/>
    <w:rsid w:val="00053593"/>
    <w:rsid w:val="00060D8F"/>
    <w:rsid w:val="000623F6"/>
    <w:rsid w:val="000736A1"/>
    <w:rsid w:val="00086BC4"/>
    <w:rsid w:val="00095E97"/>
    <w:rsid w:val="000A170C"/>
    <w:rsid w:val="000B1355"/>
    <w:rsid w:val="000C40B3"/>
    <w:rsid w:val="000C56B9"/>
    <w:rsid w:val="000D7283"/>
    <w:rsid w:val="000E4560"/>
    <w:rsid w:val="000F05A5"/>
    <w:rsid w:val="000F436F"/>
    <w:rsid w:val="000F70CF"/>
    <w:rsid w:val="00102832"/>
    <w:rsid w:val="0010485E"/>
    <w:rsid w:val="00107DB8"/>
    <w:rsid w:val="00110B63"/>
    <w:rsid w:val="001119E9"/>
    <w:rsid w:val="0012599D"/>
    <w:rsid w:val="001372F0"/>
    <w:rsid w:val="00137961"/>
    <w:rsid w:val="0014368C"/>
    <w:rsid w:val="001436E7"/>
    <w:rsid w:val="00143B31"/>
    <w:rsid w:val="0014510B"/>
    <w:rsid w:val="0015133E"/>
    <w:rsid w:val="00170ED0"/>
    <w:rsid w:val="001723E2"/>
    <w:rsid w:val="00182305"/>
    <w:rsid w:val="00186267"/>
    <w:rsid w:val="001902D2"/>
    <w:rsid w:val="00190427"/>
    <w:rsid w:val="0019424C"/>
    <w:rsid w:val="0019456A"/>
    <w:rsid w:val="0019559E"/>
    <w:rsid w:val="001A21DA"/>
    <w:rsid w:val="001A5E86"/>
    <w:rsid w:val="001A7265"/>
    <w:rsid w:val="001B0D93"/>
    <w:rsid w:val="001B1801"/>
    <w:rsid w:val="001B68E9"/>
    <w:rsid w:val="001C20F9"/>
    <w:rsid w:val="001C2DB5"/>
    <w:rsid w:val="001C5356"/>
    <w:rsid w:val="001D4F95"/>
    <w:rsid w:val="001D7D6D"/>
    <w:rsid w:val="001E1C58"/>
    <w:rsid w:val="001E4C54"/>
    <w:rsid w:val="001F0037"/>
    <w:rsid w:val="001F5D9B"/>
    <w:rsid w:val="001F6BB9"/>
    <w:rsid w:val="002000C5"/>
    <w:rsid w:val="0020087C"/>
    <w:rsid w:val="00206626"/>
    <w:rsid w:val="002108B8"/>
    <w:rsid w:val="00222701"/>
    <w:rsid w:val="0022666B"/>
    <w:rsid w:val="00226BB0"/>
    <w:rsid w:val="0022711A"/>
    <w:rsid w:val="002272FB"/>
    <w:rsid w:val="00237EFD"/>
    <w:rsid w:val="002538D8"/>
    <w:rsid w:val="00264A58"/>
    <w:rsid w:val="00265F08"/>
    <w:rsid w:val="00266202"/>
    <w:rsid w:val="002708CA"/>
    <w:rsid w:val="002716CE"/>
    <w:rsid w:val="002755DD"/>
    <w:rsid w:val="002804F7"/>
    <w:rsid w:val="00280C71"/>
    <w:rsid w:val="00281BD3"/>
    <w:rsid w:val="00290FC4"/>
    <w:rsid w:val="002A3DC0"/>
    <w:rsid w:val="002A6758"/>
    <w:rsid w:val="002C4B12"/>
    <w:rsid w:val="002C60E5"/>
    <w:rsid w:val="002C73AE"/>
    <w:rsid w:val="002D0DD7"/>
    <w:rsid w:val="002D0F96"/>
    <w:rsid w:val="002D3B88"/>
    <w:rsid w:val="002D51C9"/>
    <w:rsid w:val="002D6026"/>
    <w:rsid w:val="002D75FD"/>
    <w:rsid w:val="002E2235"/>
    <w:rsid w:val="002E36DA"/>
    <w:rsid w:val="002E4E3D"/>
    <w:rsid w:val="002E6E2A"/>
    <w:rsid w:val="002F5493"/>
    <w:rsid w:val="003007D5"/>
    <w:rsid w:val="0030258B"/>
    <w:rsid w:val="003101A3"/>
    <w:rsid w:val="0031242E"/>
    <w:rsid w:val="0031406C"/>
    <w:rsid w:val="00314623"/>
    <w:rsid w:val="00316B5D"/>
    <w:rsid w:val="003178E2"/>
    <w:rsid w:val="00336F44"/>
    <w:rsid w:val="00360442"/>
    <w:rsid w:val="003607D5"/>
    <w:rsid w:val="003649B6"/>
    <w:rsid w:val="0036503A"/>
    <w:rsid w:val="00375684"/>
    <w:rsid w:val="00376C9D"/>
    <w:rsid w:val="003802D2"/>
    <w:rsid w:val="003834B0"/>
    <w:rsid w:val="00394A77"/>
    <w:rsid w:val="00395E19"/>
    <w:rsid w:val="003A0889"/>
    <w:rsid w:val="003A1608"/>
    <w:rsid w:val="003A373E"/>
    <w:rsid w:val="003A7E3F"/>
    <w:rsid w:val="003B1D44"/>
    <w:rsid w:val="003B3663"/>
    <w:rsid w:val="003B3DF5"/>
    <w:rsid w:val="003C08D7"/>
    <w:rsid w:val="003C70C5"/>
    <w:rsid w:val="003D0230"/>
    <w:rsid w:val="003D19F3"/>
    <w:rsid w:val="003D43E1"/>
    <w:rsid w:val="003D61E3"/>
    <w:rsid w:val="003D6550"/>
    <w:rsid w:val="003D78D6"/>
    <w:rsid w:val="003E1E0C"/>
    <w:rsid w:val="003E50AA"/>
    <w:rsid w:val="003F1ACF"/>
    <w:rsid w:val="003F4FA0"/>
    <w:rsid w:val="0040492C"/>
    <w:rsid w:val="00416F20"/>
    <w:rsid w:val="00420AC2"/>
    <w:rsid w:val="00423747"/>
    <w:rsid w:val="00450CF0"/>
    <w:rsid w:val="00451E2E"/>
    <w:rsid w:val="00456977"/>
    <w:rsid w:val="00457301"/>
    <w:rsid w:val="00463062"/>
    <w:rsid w:val="004656AC"/>
    <w:rsid w:val="004734DC"/>
    <w:rsid w:val="004738A6"/>
    <w:rsid w:val="004767DB"/>
    <w:rsid w:val="004835A7"/>
    <w:rsid w:val="00491CDE"/>
    <w:rsid w:val="00492BE9"/>
    <w:rsid w:val="0049306C"/>
    <w:rsid w:val="004A39BC"/>
    <w:rsid w:val="004A5842"/>
    <w:rsid w:val="004A6C06"/>
    <w:rsid w:val="004C4F74"/>
    <w:rsid w:val="004C73DE"/>
    <w:rsid w:val="004D2C97"/>
    <w:rsid w:val="004E034E"/>
    <w:rsid w:val="004E1A5F"/>
    <w:rsid w:val="004E564D"/>
    <w:rsid w:val="004E5A3E"/>
    <w:rsid w:val="004F533C"/>
    <w:rsid w:val="004F6027"/>
    <w:rsid w:val="00501A6E"/>
    <w:rsid w:val="00514693"/>
    <w:rsid w:val="00517F73"/>
    <w:rsid w:val="00521CCC"/>
    <w:rsid w:val="005263D1"/>
    <w:rsid w:val="00533BE6"/>
    <w:rsid w:val="00533E64"/>
    <w:rsid w:val="005430E5"/>
    <w:rsid w:val="005557AD"/>
    <w:rsid w:val="00565D52"/>
    <w:rsid w:val="00571DD2"/>
    <w:rsid w:val="00574AC9"/>
    <w:rsid w:val="00575674"/>
    <w:rsid w:val="00575F0E"/>
    <w:rsid w:val="0058012D"/>
    <w:rsid w:val="00581269"/>
    <w:rsid w:val="005915E6"/>
    <w:rsid w:val="005916D4"/>
    <w:rsid w:val="005930DA"/>
    <w:rsid w:val="00595BFB"/>
    <w:rsid w:val="005B0616"/>
    <w:rsid w:val="005B0BF0"/>
    <w:rsid w:val="005B2BF1"/>
    <w:rsid w:val="005D5DA7"/>
    <w:rsid w:val="005E76A6"/>
    <w:rsid w:val="005F2F89"/>
    <w:rsid w:val="00600129"/>
    <w:rsid w:val="00605ABB"/>
    <w:rsid w:val="00616F94"/>
    <w:rsid w:val="00641032"/>
    <w:rsid w:val="00653611"/>
    <w:rsid w:val="00655863"/>
    <w:rsid w:val="006564BB"/>
    <w:rsid w:val="00663465"/>
    <w:rsid w:val="00666756"/>
    <w:rsid w:val="006679B2"/>
    <w:rsid w:val="00670238"/>
    <w:rsid w:val="00672C46"/>
    <w:rsid w:val="00676FCD"/>
    <w:rsid w:val="006836DC"/>
    <w:rsid w:val="0068463E"/>
    <w:rsid w:val="006868DE"/>
    <w:rsid w:val="00691D9C"/>
    <w:rsid w:val="006957D1"/>
    <w:rsid w:val="00697782"/>
    <w:rsid w:val="006B20B0"/>
    <w:rsid w:val="006B48CD"/>
    <w:rsid w:val="006B69CF"/>
    <w:rsid w:val="006B7B21"/>
    <w:rsid w:val="006C513B"/>
    <w:rsid w:val="006C6647"/>
    <w:rsid w:val="006C722E"/>
    <w:rsid w:val="006C7CD6"/>
    <w:rsid w:val="006D27A2"/>
    <w:rsid w:val="006E6283"/>
    <w:rsid w:val="006F076B"/>
    <w:rsid w:val="006F6A52"/>
    <w:rsid w:val="006F7379"/>
    <w:rsid w:val="006F7D4E"/>
    <w:rsid w:val="00703238"/>
    <w:rsid w:val="00734B98"/>
    <w:rsid w:val="007354E8"/>
    <w:rsid w:val="0073783A"/>
    <w:rsid w:val="00740C6D"/>
    <w:rsid w:val="007452C7"/>
    <w:rsid w:val="00754728"/>
    <w:rsid w:val="00755D8E"/>
    <w:rsid w:val="0076457F"/>
    <w:rsid w:val="00772291"/>
    <w:rsid w:val="0077270F"/>
    <w:rsid w:val="00780E1B"/>
    <w:rsid w:val="00784830"/>
    <w:rsid w:val="00786AD7"/>
    <w:rsid w:val="007874C6"/>
    <w:rsid w:val="00787F2D"/>
    <w:rsid w:val="007938AA"/>
    <w:rsid w:val="007940DE"/>
    <w:rsid w:val="007A0528"/>
    <w:rsid w:val="007A717B"/>
    <w:rsid w:val="007B10D3"/>
    <w:rsid w:val="007B331F"/>
    <w:rsid w:val="007B5D77"/>
    <w:rsid w:val="007C516C"/>
    <w:rsid w:val="007D0A29"/>
    <w:rsid w:val="007D3F77"/>
    <w:rsid w:val="007D61D0"/>
    <w:rsid w:val="007E2A08"/>
    <w:rsid w:val="007E7A77"/>
    <w:rsid w:val="007F1702"/>
    <w:rsid w:val="007F7102"/>
    <w:rsid w:val="00807D06"/>
    <w:rsid w:val="00813EAF"/>
    <w:rsid w:val="00816440"/>
    <w:rsid w:val="00821252"/>
    <w:rsid w:val="0082517C"/>
    <w:rsid w:val="0082671C"/>
    <w:rsid w:val="0083224B"/>
    <w:rsid w:val="00837E4E"/>
    <w:rsid w:val="00840A68"/>
    <w:rsid w:val="008472B7"/>
    <w:rsid w:val="008570C1"/>
    <w:rsid w:val="00860CF4"/>
    <w:rsid w:val="00864CE6"/>
    <w:rsid w:val="00871E95"/>
    <w:rsid w:val="00880642"/>
    <w:rsid w:val="00886DD8"/>
    <w:rsid w:val="008874B5"/>
    <w:rsid w:val="00887DFF"/>
    <w:rsid w:val="0089050A"/>
    <w:rsid w:val="008A252E"/>
    <w:rsid w:val="008A39C7"/>
    <w:rsid w:val="008A7DE5"/>
    <w:rsid w:val="008B4D59"/>
    <w:rsid w:val="008C26A8"/>
    <w:rsid w:val="008D2126"/>
    <w:rsid w:val="008D4D63"/>
    <w:rsid w:val="00901B07"/>
    <w:rsid w:val="00912306"/>
    <w:rsid w:val="009129EE"/>
    <w:rsid w:val="00915D97"/>
    <w:rsid w:val="00923BF9"/>
    <w:rsid w:val="00931419"/>
    <w:rsid w:val="00931710"/>
    <w:rsid w:val="009355B1"/>
    <w:rsid w:val="00935EFE"/>
    <w:rsid w:val="009403DD"/>
    <w:rsid w:val="00946182"/>
    <w:rsid w:val="00946C11"/>
    <w:rsid w:val="009645B9"/>
    <w:rsid w:val="00965331"/>
    <w:rsid w:val="00972287"/>
    <w:rsid w:val="00973970"/>
    <w:rsid w:val="009A21F4"/>
    <w:rsid w:val="009C63AD"/>
    <w:rsid w:val="009D1E27"/>
    <w:rsid w:val="009D3926"/>
    <w:rsid w:val="009E11D1"/>
    <w:rsid w:val="009E315D"/>
    <w:rsid w:val="009E3E60"/>
    <w:rsid w:val="00A13441"/>
    <w:rsid w:val="00A13CE4"/>
    <w:rsid w:val="00A22C47"/>
    <w:rsid w:val="00A347B3"/>
    <w:rsid w:val="00A43B7A"/>
    <w:rsid w:val="00A43E90"/>
    <w:rsid w:val="00A50F2B"/>
    <w:rsid w:val="00A51702"/>
    <w:rsid w:val="00A53C14"/>
    <w:rsid w:val="00A67D31"/>
    <w:rsid w:val="00A77574"/>
    <w:rsid w:val="00A83141"/>
    <w:rsid w:val="00A87693"/>
    <w:rsid w:val="00A90B82"/>
    <w:rsid w:val="00AA1C47"/>
    <w:rsid w:val="00AA270C"/>
    <w:rsid w:val="00AA6A1A"/>
    <w:rsid w:val="00AB4BF9"/>
    <w:rsid w:val="00AD5D32"/>
    <w:rsid w:val="00AE1DF1"/>
    <w:rsid w:val="00AE2931"/>
    <w:rsid w:val="00AE36AC"/>
    <w:rsid w:val="00AE5835"/>
    <w:rsid w:val="00AE7E16"/>
    <w:rsid w:val="00AF4ED0"/>
    <w:rsid w:val="00B014CA"/>
    <w:rsid w:val="00B01F6E"/>
    <w:rsid w:val="00B061AA"/>
    <w:rsid w:val="00B13BCB"/>
    <w:rsid w:val="00B2522F"/>
    <w:rsid w:val="00B26ABA"/>
    <w:rsid w:val="00B35349"/>
    <w:rsid w:val="00B36F19"/>
    <w:rsid w:val="00B427A1"/>
    <w:rsid w:val="00B46864"/>
    <w:rsid w:val="00B54B25"/>
    <w:rsid w:val="00B61E1C"/>
    <w:rsid w:val="00B67E29"/>
    <w:rsid w:val="00B72C90"/>
    <w:rsid w:val="00B77AAA"/>
    <w:rsid w:val="00B92496"/>
    <w:rsid w:val="00B9391C"/>
    <w:rsid w:val="00B95058"/>
    <w:rsid w:val="00BA1143"/>
    <w:rsid w:val="00BB3C41"/>
    <w:rsid w:val="00BB4CD7"/>
    <w:rsid w:val="00BC4854"/>
    <w:rsid w:val="00BC5686"/>
    <w:rsid w:val="00BD264C"/>
    <w:rsid w:val="00BE1FA1"/>
    <w:rsid w:val="00BE43A7"/>
    <w:rsid w:val="00BE6450"/>
    <w:rsid w:val="00BF4A01"/>
    <w:rsid w:val="00C022D7"/>
    <w:rsid w:val="00C151FE"/>
    <w:rsid w:val="00C23693"/>
    <w:rsid w:val="00C23787"/>
    <w:rsid w:val="00C30483"/>
    <w:rsid w:val="00C314BD"/>
    <w:rsid w:val="00C350E7"/>
    <w:rsid w:val="00C57F4E"/>
    <w:rsid w:val="00C65D75"/>
    <w:rsid w:val="00C662CF"/>
    <w:rsid w:val="00C72161"/>
    <w:rsid w:val="00C82529"/>
    <w:rsid w:val="00C83EE1"/>
    <w:rsid w:val="00C85531"/>
    <w:rsid w:val="00C86B7C"/>
    <w:rsid w:val="00C9239F"/>
    <w:rsid w:val="00C92B80"/>
    <w:rsid w:val="00CA3D30"/>
    <w:rsid w:val="00CA3D75"/>
    <w:rsid w:val="00CA4E05"/>
    <w:rsid w:val="00CB04AF"/>
    <w:rsid w:val="00CD01EF"/>
    <w:rsid w:val="00CD348B"/>
    <w:rsid w:val="00CD70F7"/>
    <w:rsid w:val="00CE236E"/>
    <w:rsid w:val="00CE42F4"/>
    <w:rsid w:val="00CE6794"/>
    <w:rsid w:val="00D02B0F"/>
    <w:rsid w:val="00D03E32"/>
    <w:rsid w:val="00D120DF"/>
    <w:rsid w:val="00D14F93"/>
    <w:rsid w:val="00D21B10"/>
    <w:rsid w:val="00D261D7"/>
    <w:rsid w:val="00D30EA1"/>
    <w:rsid w:val="00D310F5"/>
    <w:rsid w:val="00D3158E"/>
    <w:rsid w:val="00D3271D"/>
    <w:rsid w:val="00D349FE"/>
    <w:rsid w:val="00D35850"/>
    <w:rsid w:val="00D51104"/>
    <w:rsid w:val="00D54531"/>
    <w:rsid w:val="00D56214"/>
    <w:rsid w:val="00D56EA2"/>
    <w:rsid w:val="00D617E7"/>
    <w:rsid w:val="00D7364C"/>
    <w:rsid w:val="00D7563A"/>
    <w:rsid w:val="00D75EE3"/>
    <w:rsid w:val="00D85D9E"/>
    <w:rsid w:val="00D912CC"/>
    <w:rsid w:val="00D9309D"/>
    <w:rsid w:val="00DA45DB"/>
    <w:rsid w:val="00DA4BC1"/>
    <w:rsid w:val="00DA7FEC"/>
    <w:rsid w:val="00DB121C"/>
    <w:rsid w:val="00DB4F47"/>
    <w:rsid w:val="00DC6421"/>
    <w:rsid w:val="00DC7096"/>
    <w:rsid w:val="00DD061B"/>
    <w:rsid w:val="00DE3D8A"/>
    <w:rsid w:val="00DF06A9"/>
    <w:rsid w:val="00DF6459"/>
    <w:rsid w:val="00E11414"/>
    <w:rsid w:val="00E117CF"/>
    <w:rsid w:val="00E11FA5"/>
    <w:rsid w:val="00E16390"/>
    <w:rsid w:val="00E16598"/>
    <w:rsid w:val="00E17381"/>
    <w:rsid w:val="00E213DB"/>
    <w:rsid w:val="00E23976"/>
    <w:rsid w:val="00E25EA9"/>
    <w:rsid w:val="00E27833"/>
    <w:rsid w:val="00E37781"/>
    <w:rsid w:val="00E408C6"/>
    <w:rsid w:val="00E41A4F"/>
    <w:rsid w:val="00E459A2"/>
    <w:rsid w:val="00E46328"/>
    <w:rsid w:val="00E60C09"/>
    <w:rsid w:val="00E65268"/>
    <w:rsid w:val="00E65D8A"/>
    <w:rsid w:val="00E77986"/>
    <w:rsid w:val="00E803DF"/>
    <w:rsid w:val="00E83CB2"/>
    <w:rsid w:val="00E854C9"/>
    <w:rsid w:val="00E85DD1"/>
    <w:rsid w:val="00E95BFD"/>
    <w:rsid w:val="00EA000B"/>
    <w:rsid w:val="00EB1E25"/>
    <w:rsid w:val="00EB4A8F"/>
    <w:rsid w:val="00EC0839"/>
    <w:rsid w:val="00ED091F"/>
    <w:rsid w:val="00ED2809"/>
    <w:rsid w:val="00ED5DC1"/>
    <w:rsid w:val="00ED77C3"/>
    <w:rsid w:val="00ED7E3D"/>
    <w:rsid w:val="00EE1D10"/>
    <w:rsid w:val="00EE4C8F"/>
    <w:rsid w:val="00EF4386"/>
    <w:rsid w:val="00EF56D8"/>
    <w:rsid w:val="00EF7A38"/>
    <w:rsid w:val="00F0341A"/>
    <w:rsid w:val="00F04EE9"/>
    <w:rsid w:val="00F056FC"/>
    <w:rsid w:val="00F05C08"/>
    <w:rsid w:val="00F177E8"/>
    <w:rsid w:val="00F20E88"/>
    <w:rsid w:val="00F35A8B"/>
    <w:rsid w:val="00F451A7"/>
    <w:rsid w:val="00F52127"/>
    <w:rsid w:val="00F66959"/>
    <w:rsid w:val="00F71DB7"/>
    <w:rsid w:val="00F750D7"/>
    <w:rsid w:val="00F81147"/>
    <w:rsid w:val="00F82FD0"/>
    <w:rsid w:val="00F85DEF"/>
    <w:rsid w:val="00F959F8"/>
    <w:rsid w:val="00F96347"/>
    <w:rsid w:val="00F97F5F"/>
    <w:rsid w:val="00FA1FE3"/>
    <w:rsid w:val="00FA358C"/>
    <w:rsid w:val="00FB3923"/>
    <w:rsid w:val="00FB5A99"/>
    <w:rsid w:val="00FB65A9"/>
    <w:rsid w:val="00FB7C36"/>
    <w:rsid w:val="00FC07C2"/>
    <w:rsid w:val="00FC2AF5"/>
    <w:rsid w:val="00FE00A8"/>
    <w:rsid w:val="00FE3B21"/>
    <w:rsid w:val="00FF160D"/>
    <w:rsid w:val="00FF6F27"/>
    <w:rsid w:val="010EBCE8"/>
    <w:rsid w:val="023E5D6F"/>
    <w:rsid w:val="057A74E0"/>
    <w:rsid w:val="06408719"/>
    <w:rsid w:val="077DFE6C"/>
    <w:rsid w:val="08671152"/>
    <w:rsid w:val="093A3DC2"/>
    <w:rsid w:val="0AB59F2E"/>
    <w:rsid w:val="0C7DE8CC"/>
    <w:rsid w:val="0D5BC03E"/>
    <w:rsid w:val="0DAEC589"/>
    <w:rsid w:val="123C4D14"/>
    <w:rsid w:val="126462C7"/>
    <w:rsid w:val="154FB787"/>
    <w:rsid w:val="1737D3EA"/>
    <w:rsid w:val="18875849"/>
    <w:rsid w:val="1A2328AA"/>
    <w:rsid w:val="1E987207"/>
    <w:rsid w:val="1EC4D5F3"/>
    <w:rsid w:val="1F15AA8F"/>
    <w:rsid w:val="2395166B"/>
    <w:rsid w:val="241FD80F"/>
    <w:rsid w:val="26CFE7D8"/>
    <w:rsid w:val="28A30688"/>
    <w:rsid w:val="2A8D85FC"/>
    <w:rsid w:val="2AB3C4C2"/>
    <w:rsid w:val="2BE25E35"/>
    <w:rsid w:val="2C11C197"/>
    <w:rsid w:val="2D69D414"/>
    <w:rsid w:val="2DC526BE"/>
    <w:rsid w:val="2EFC92F1"/>
    <w:rsid w:val="2FB7A4F7"/>
    <w:rsid w:val="3112888D"/>
    <w:rsid w:val="343EB732"/>
    <w:rsid w:val="35402326"/>
    <w:rsid w:val="3619F1EB"/>
    <w:rsid w:val="369708EA"/>
    <w:rsid w:val="37529CB2"/>
    <w:rsid w:val="37AB5869"/>
    <w:rsid w:val="3E9E5E93"/>
    <w:rsid w:val="3EB5E51E"/>
    <w:rsid w:val="40B522DE"/>
    <w:rsid w:val="41D082AB"/>
    <w:rsid w:val="429F146B"/>
    <w:rsid w:val="42DF147E"/>
    <w:rsid w:val="434739AC"/>
    <w:rsid w:val="44737E9D"/>
    <w:rsid w:val="44D8DAA0"/>
    <w:rsid w:val="44EF0DCE"/>
    <w:rsid w:val="4525B809"/>
    <w:rsid w:val="455BA1AC"/>
    <w:rsid w:val="45CE6300"/>
    <w:rsid w:val="46CEEF7B"/>
    <w:rsid w:val="485CC764"/>
    <w:rsid w:val="4A38FB2D"/>
    <w:rsid w:val="4B93B581"/>
    <w:rsid w:val="4BB93900"/>
    <w:rsid w:val="4BD4CB8E"/>
    <w:rsid w:val="4D21379F"/>
    <w:rsid w:val="4D3C2612"/>
    <w:rsid w:val="4DBE0F7C"/>
    <w:rsid w:val="4F40CA9E"/>
    <w:rsid w:val="54EC4499"/>
    <w:rsid w:val="5557BE2D"/>
    <w:rsid w:val="55FF2FC5"/>
    <w:rsid w:val="56B97AD0"/>
    <w:rsid w:val="577933EE"/>
    <w:rsid w:val="58EAACBB"/>
    <w:rsid w:val="592AE7EF"/>
    <w:rsid w:val="5A11B8AA"/>
    <w:rsid w:val="5B33EA08"/>
    <w:rsid w:val="5B7B6DA3"/>
    <w:rsid w:val="5BBA3330"/>
    <w:rsid w:val="5C3AB51E"/>
    <w:rsid w:val="5D35217A"/>
    <w:rsid w:val="5D7DD5BC"/>
    <w:rsid w:val="5ED28572"/>
    <w:rsid w:val="5FB2F392"/>
    <w:rsid w:val="60340B59"/>
    <w:rsid w:val="606E55D3"/>
    <w:rsid w:val="620C368A"/>
    <w:rsid w:val="638EF0ED"/>
    <w:rsid w:val="63ECCF2E"/>
    <w:rsid w:val="65F108E9"/>
    <w:rsid w:val="68E599B2"/>
    <w:rsid w:val="68FEC20F"/>
    <w:rsid w:val="697D3692"/>
    <w:rsid w:val="69EEF997"/>
    <w:rsid w:val="6A816A13"/>
    <w:rsid w:val="6B1A35E3"/>
    <w:rsid w:val="6CF93EDC"/>
    <w:rsid w:val="6F54DB36"/>
    <w:rsid w:val="6FDAD898"/>
    <w:rsid w:val="70F0AB97"/>
    <w:rsid w:val="710360D2"/>
    <w:rsid w:val="716D5998"/>
    <w:rsid w:val="763078BC"/>
    <w:rsid w:val="7C3B4BC4"/>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AEC2ACB"/>
  <w15:docId w15:val="{9734B692-6441-4036-9793-5F8EF0F6530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uiPriority="99" w:semiHidden="1" w:unhideWhenUsed="1"/>
    <w:lsdException w:name="index heading" w:semiHidden="1" w:unhideWhenUsed="1"/>
    <w:lsdException w:name="caption" w:uiPriority="35" w:semiHidden="1" w:unhideWhenUsed="1" w:qFormat="1"/>
    <w:lsdException w:name="table of figures" w:uiPriority="99" w:semiHidden="1" w:unhideWhenUsed="1"/>
    <w:lsdException w:name="envelope address" w:semiHidden="1" w:unhideWhenUsed="1"/>
    <w:lsdException w:name="envelope return" w:semiHidden="1" w:unhideWhenUsed="1"/>
    <w:lsdException w:name="footnote reference" w:uiPriority="99" w:semiHidden="1" w:unhideWhenUsed="1"/>
    <w:lsdException w:name="annotation reference" w:semiHidden="1" w:unhideWhenUsed="1"/>
    <w:lsdException w:name="line number" w:semiHidden="1" w:unhideWhenUsed="1"/>
    <w:lsdException w:name="page number" w:semiHidden="1" w:unhideWhenUsed="1"/>
    <w:lsdException w:name="endnote reference" w:uiPriority="99" w:semiHidden="1" w:unhideWhenUsed="1"/>
    <w:lsdException w:name="endnote text" w:uiPriority="99"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uiPriority="99"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3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1F5D9B"/>
    <w:pPr>
      <w:autoSpaceDE w:val="0"/>
      <w:autoSpaceDN w:val="0"/>
    </w:pPr>
    <w:rPr>
      <w:lang w:val="es-ES_tradnl" w:eastAsia="en-US"/>
    </w:rPr>
  </w:style>
  <w:style w:type="paragraph" w:styleId="Ttulo1">
    <w:name w:val="heading 1"/>
    <w:basedOn w:val="Normal"/>
    <w:next w:val="Normal"/>
    <w:link w:val="Ttulo1Car"/>
    <w:qFormat/>
    <w:rsid w:val="001F5D9B"/>
    <w:pPr>
      <w:keepNext/>
      <w:spacing w:before="240" w:after="60"/>
      <w:outlineLvl w:val="0"/>
    </w:pPr>
    <w:rPr>
      <w:rFonts w:ascii="Arial" w:hAnsi="Arial" w:cs="Arial"/>
      <w:b/>
      <w:bCs/>
      <w:kern w:val="28"/>
      <w:sz w:val="28"/>
      <w:szCs w:val="28"/>
    </w:rPr>
  </w:style>
  <w:style w:type="paragraph" w:styleId="Ttulo2">
    <w:name w:val="heading 2"/>
    <w:basedOn w:val="Normal"/>
    <w:next w:val="Normal"/>
    <w:link w:val="Ttulo2Car"/>
    <w:qFormat/>
    <w:rsid w:val="001F5D9B"/>
    <w:pPr>
      <w:keepNext/>
      <w:ind w:left="-540"/>
      <w:outlineLvl w:val="1"/>
    </w:pPr>
    <w:rPr>
      <w:i/>
      <w:iCs/>
      <w:szCs w:val="24"/>
    </w:rPr>
  </w:style>
  <w:style w:type="paragraph" w:styleId="Ttulo3">
    <w:name w:val="heading 3"/>
    <w:basedOn w:val="Normal"/>
    <w:next w:val="Normal"/>
    <w:link w:val="Ttulo3Car"/>
    <w:qFormat/>
    <w:rsid w:val="001F5D9B"/>
    <w:pPr>
      <w:keepNext/>
      <w:spacing w:before="240" w:after="60"/>
      <w:outlineLvl w:val="2"/>
    </w:pPr>
    <w:rPr>
      <w:rFonts w:ascii="Arial" w:hAnsi="Arial" w:cs="Arial"/>
      <w:szCs w:val="24"/>
    </w:rPr>
  </w:style>
  <w:style w:type="paragraph" w:styleId="Ttulo4">
    <w:name w:val="heading 4"/>
    <w:basedOn w:val="Normal"/>
    <w:next w:val="Normal"/>
    <w:link w:val="Ttulo4Car"/>
    <w:qFormat/>
    <w:rsid w:val="006C722E"/>
    <w:pPr>
      <w:keepNext/>
      <w:spacing w:before="240" w:after="60"/>
      <w:ind w:left="1152" w:hanging="720"/>
      <w:outlineLvl w:val="3"/>
    </w:pPr>
    <w:rPr>
      <w:i/>
      <w:iCs/>
      <w:sz w:val="18"/>
      <w:szCs w:val="18"/>
    </w:rPr>
  </w:style>
  <w:style w:type="paragraph" w:styleId="Ttulo5">
    <w:name w:val="heading 5"/>
    <w:basedOn w:val="Normal"/>
    <w:next w:val="Normal"/>
    <w:link w:val="Ttulo5Car"/>
    <w:qFormat/>
    <w:rsid w:val="006C722E"/>
    <w:pPr>
      <w:spacing w:before="240" w:after="60"/>
      <w:ind w:left="1872" w:hanging="720"/>
      <w:outlineLvl w:val="4"/>
    </w:pPr>
    <w:rPr>
      <w:sz w:val="18"/>
      <w:szCs w:val="18"/>
    </w:rPr>
  </w:style>
  <w:style w:type="paragraph" w:styleId="Ttulo6">
    <w:name w:val="heading 6"/>
    <w:basedOn w:val="Normal"/>
    <w:next w:val="Normal"/>
    <w:link w:val="Ttulo6Car"/>
    <w:qFormat/>
    <w:rsid w:val="006C722E"/>
    <w:pPr>
      <w:spacing w:before="240" w:after="60"/>
      <w:ind w:left="2592" w:hanging="720"/>
      <w:outlineLvl w:val="5"/>
    </w:pPr>
    <w:rPr>
      <w:i/>
      <w:iCs/>
      <w:sz w:val="16"/>
      <w:szCs w:val="16"/>
    </w:rPr>
  </w:style>
  <w:style w:type="paragraph" w:styleId="Ttulo7">
    <w:name w:val="heading 7"/>
    <w:basedOn w:val="Normal"/>
    <w:next w:val="Normal"/>
    <w:link w:val="Ttulo7Car"/>
    <w:qFormat/>
    <w:rsid w:val="006C722E"/>
    <w:pPr>
      <w:spacing w:before="240" w:after="60"/>
      <w:ind w:left="3312" w:hanging="720"/>
      <w:outlineLvl w:val="6"/>
    </w:pPr>
    <w:rPr>
      <w:sz w:val="16"/>
      <w:szCs w:val="16"/>
    </w:rPr>
  </w:style>
  <w:style w:type="paragraph" w:styleId="Ttulo8">
    <w:name w:val="heading 8"/>
    <w:basedOn w:val="Normal"/>
    <w:next w:val="Normal"/>
    <w:link w:val="Ttulo8Car"/>
    <w:qFormat/>
    <w:rsid w:val="006C722E"/>
    <w:pPr>
      <w:spacing w:before="240" w:after="60"/>
      <w:ind w:left="4032" w:hanging="720"/>
      <w:outlineLvl w:val="7"/>
    </w:pPr>
    <w:rPr>
      <w:i/>
      <w:iCs/>
      <w:sz w:val="16"/>
      <w:szCs w:val="16"/>
    </w:rPr>
  </w:style>
  <w:style w:type="paragraph" w:styleId="Ttulo9">
    <w:name w:val="heading 9"/>
    <w:basedOn w:val="Normal"/>
    <w:next w:val="Normal"/>
    <w:link w:val="Ttulo9Car"/>
    <w:qFormat/>
    <w:rsid w:val="006C722E"/>
    <w:pPr>
      <w:spacing w:before="240" w:after="60"/>
      <w:ind w:left="4752" w:hanging="720"/>
      <w:outlineLvl w:val="8"/>
    </w:pPr>
    <w:rPr>
      <w:sz w:val="16"/>
      <w:szCs w:val="1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independiente">
    <w:name w:val="Body Text"/>
    <w:basedOn w:val="Normal"/>
    <w:rsid w:val="001F5D9B"/>
    <w:pPr>
      <w:jc w:val="both"/>
    </w:pPr>
  </w:style>
  <w:style w:type="character" w:styleId="Hipervnculo">
    <w:name w:val="Hyperlink"/>
    <w:rsid w:val="001F5D9B"/>
    <w:rPr>
      <w:color w:val="0000FF"/>
      <w:u w:val="single"/>
    </w:rPr>
  </w:style>
  <w:style w:type="paragraph" w:styleId="Sangradetextonormal">
    <w:name w:val="Body Text Indent"/>
    <w:basedOn w:val="Normal"/>
    <w:rsid w:val="001F5D9B"/>
    <w:pPr>
      <w:jc w:val="right"/>
    </w:pPr>
  </w:style>
  <w:style w:type="paragraph" w:styleId="Textoindependiente3">
    <w:name w:val="Body Text 3"/>
    <w:basedOn w:val="Normal"/>
    <w:rsid w:val="001F5D9B"/>
    <w:pPr>
      <w:jc w:val="both"/>
    </w:pPr>
    <w:rPr>
      <w:szCs w:val="24"/>
    </w:rPr>
  </w:style>
  <w:style w:type="paragraph" w:styleId="Piedepgina">
    <w:name w:val="footer"/>
    <w:basedOn w:val="Normal"/>
    <w:link w:val="PiedepginaCar"/>
    <w:uiPriority w:val="99"/>
    <w:rsid w:val="001F5D9B"/>
    <w:pPr>
      <w:tabs>
        <w:tab w:val="center" w:pos="4320"/>
        <w:tab w:val="right" w:pos="8640"/>
      </w:tabs>
    </w:pPr>
  </w:style>
  <w:style w:type="character" w:styleId="Nmerodepgina">
    <w:name w:val="page number"/>
    <w:basedOn w:val="Fuentedeprrafopredeter"/>
    <w:rsid w:val="001F5D9B"/>
  </w:style>
  <w:style w:type="paragraph" w:styleId="Encabezado">
    <w:name w:val="header"/>
    <w:basedOn w:val="Normal"/>
    <w:link w:val="EncabezadoCar"/>
    <w:uiPriority w:val="99"/>
    <w:rsid w:val="001F5D9B"/>
    <w:pPr>
      <w:tabs>
        <w:tab w:val="center" w:pos="4320"/>
        <w:tab w:val="right" w:pos="8640"/>
      </w:tabs>
    </w:pPr>
  </w:style>
  <w:style w:type="paragraph" w:styleId="Mapadeldocumento">
    <w:name w:val="Document Map"/>
    <w:basedOn w:val="Normal"/>
    <w:semiHidden/>
    <w:rsid w:val="001F5D9B"/>
    <w:pPr>
      <w:shd w:val="clear" w:color="auto" w:fill="000080"/>
    </w:pPr>
    <w:rPr>
      <w:rFonts w:ascii="Tahoma" w:hAnsi="Tahoma" w:cs="Tahoma"/>
    </w:rPr>
  </w:style>
  <w:style w:type="character" w:styleId="subjectsenderlabel" w:customStyle="1">
    <w:name w:val="subjectsenderlabel"/>
    <w:basedOn w:val="Fuentedeprrafopredeter"/>
    <w:rsid w:val="00BE6450"/>
  </w:style>
  <w:style w:type="paragraph" w:styleId="NormalWeb">
    <w:name w:val="Normal (Web)"/>
    <w:basedOn w:val="Normal"/>
    <w:unhideWhenUsed/>
    <w:rsid w:val="00AE1DF1"/>
    <w:pPr>
      <w:autoSpaceDE/>
      <w:autoSpaceDN/>
      <w:spacing w:before="100" w:beforeAutospacing="1" w:after="100" w:afterAutospacing="1"/>
    </w:pPr>
    <w:rPr>
      <w:sz w:val="24"/>
      <w:szCs w:val="24"/>
      <w:lang w:val="es-CL" w:eastAsia="es-CL"/>
    </w:rPr>
  </w:style>
  <w:style w:type="paragraph" w:styleId="Default" w:customStyle="1">
    <w:name w:val="Default"/>
    <w:rsid w:val="00AE1DF1"/>
    <w:pPr>
      <w:autoSpaceDE w:val="0"/>
      <w:autoSpaceDN w:val="0"/>
      <w:adjustRightInd w:val="0"/>
    </w:pPr>
    <w:rPr>
      <w:rFonts w:ascii="Arial" w:hAnsi="Arial" w:eastAsia="Calibri" w:cs="Arial"/>
      <w:color w:val="000000"/>
      <w:sz w:val="24"/>
      <w:szCs w:val="24"/>
    </w:rPr>
  </w:style>
  <w:style w:type="character" w:styleId="Textoennegrita">
    <w:name w:val="Strong"/>
    <w:uiPriority w:val="22"/>
    <w:qFormat/>
    <w:rsid w:val="00AE1DF1"/>
    <w:rPr>
      <w:b/>
      <w:bCs/>
    </w:rPr>
  </w:style>
  <w:style w:type="character" w:styleId="CitaHTML">
    <w:name w:val="HTML Cite"/>
    <w:uiPriority w:val="99"/>
    <w:unhideWhenUsed/>
    <w:rsid w:val="00AE1DF1"/>
    <w:rPr>
      <w:i/>
      <w:iCs/>
    </w:rPr>
  </w:style>
  <w:style w:type="paragraph" w:styleId="Text" w:customStyle="1">
    <w:name w:val="Text"/>
    <w:basedOn w:val="Normal"/>
    <w:rsid w:val="007940DE"/>
    <w:pPr>
      <w:widowControl w:val="0"/>
      <w:spacing w:line="252" w:lineRule="auto"/>
      <w:ind w:firstLine="202"/>
      <w:jc w:val="both"/>
    </w:pPr>
  </w:style>
  <w:style w:type="character" w:styleId="EncabezadoCar" w:customStyle="1">
    <w:name w:val="Encabezado Car"/>
    <w:link w:val="Encabezado"/>
    <w:uiPriority w:val="99"/>
    <w:rsid w:val="007940DE"/>
    <w:rPr>
      <w:lang w:val="en-US" w:eastAsia="en-US"/>
    </w:rPr>
  </w:style>
  <w:style w:type="paragraph" w:styleId="Autores" w:customStyle="1">
    <w:name w:val="Autores"/>
    <w:basedOn w:val="Normal"/>
    <w:link w:val="AutoresChar"/>
    <w:qFormat/>
    <w:rsid w:val="007940DE"/>
    <w:pPr>
      <w:spacing w:before="225" w:after="330"/>
      <w:ind w:firstLine="270"/>
      <w:jc w:val="center"/>
    </w:pPr>
    <w:rPr>
      <w:color w:val="1F497D"/>
      <w:sz w:val="22"/>
      <w:szCs w:val="22"/>
    </w:rPr>
  </w:style>
  <w:style w:type="paragraph" w:styleId="Resumen" w:customStyle="1">
    <w:name w:val="Resumen"/>
    <w:basedOn w:val="Normal"/>
    <w:link w:val="ResumenChar"/>
    <w:qFormat/>
    <w:rsid w:val="007940DE"/>
    <w:pPr>
      <w:spacing w:before="20"/>
      <w:ind w:firstLine="202"/>
      <w:jc w:val="both"/>
    </w:pPr>
    <w:rPr>
      <w:b/>
      <w:bCs/>
      <w:iCs/>
      <w:color w:val="1F497D"/>
      <w:sz w:val="18"/>
      <w:szCs w:val="18"/>
    </w:rPr>
  </w:style>
  <w:style w:type="paragraph" w:styleId="Textodeglobo">
    <w:name w:val="Balloon Text"/>
    <w:basedOn w:val="Normal"/>
    <w:link w:val="TextodegloboCar"/>
    <w:uiPriority w:val="99"/>
    <w:rsid w:val="0031242E"/>
    <w:rPr>
      <w:rFonts w:ascii="Tahoma" w:hAnsi="Tahoma"/>
      <w:sz w:val="16"/>
      <w:szCs w:val="16"/>
    </w:rPr>
  </w:style>
  <w:style w:type="character" w:styleId="TextodegloboCar" w:customStyle="1">
    <w:name w:val="Texto de globo Car"/>
    <w:link w:val="Textodeglobo"/>
    <w:uiPriority w:val="99"/>
    <w:rsid w:val="0031242E"/>
    <w:rPr>
      <w:rFonts w:ascii="Tahoma" w:hAnsi="Tahoma" w:cs="Tahoma"/>
      <w:sz w:val="16"/>
      <w:szCs w:val="16"/>
      <w:lang w:val="en-US" w:eastAsia="en-US"/>
    </w:rPr>
  </w:style>
  <w:style w:type="paragraph" w:styleId="Prrafodelista">
    <w:name w:val="List Paragraph"/>
    <w:basedOn w:val="Normal"/>
    <w:uiPriority w:val="34"/>
    <w:qFormat/>
    <w:rsid w:val="00C85531"/>
    <w:pPr>
      <w:autoSpaceDE/>
      <w:autoSpaceDN/>
      <w:spacing w:after="200" w:line="276" w:lineRule="auto"/>
      <w:ind w:left="720"/>
      <w:contextualSpacing/>
    </w:pPr>
    <w:rPr>
      <w:rFonts w:ascii="Calibri" w:hAnsi="Calibri" w:eastAsia="Calibri"/>
      <w:sz w:val="22"/>
      <w:szCs w:val="22"/>
      <w:lang w:val="es-ES"/>
    </w:rPr>
  </w:style>
  <w:style w:type="character" w:styleId="st1" w:customStyle="1">
    <w:name w:val="st1"/>
    <w:rsid w:val="00C85531"/>
  </w:style>
  <w:style w:type="character" w:styleId="author" w:customStyle="1">
    <w:name w:val="author"/>
    <w:rsid w:val="00456977"/>
  </w:style>
  <w:style w:type="character" w:styleId="container" w:customStyle="1">
    <w:name w:val="container"/>
    <w:rsid w:val="0077270F"/>
  </w:style>
  <w:style w:type="character" w:styleId="year" w:customStyle="1">
    <w:name w:val="year"/>
    <w:rsid w:val="0077270F"/>
  </w:style>
  <w:style w:type="character" w:styleId="info" w:customStyle="1">
    <w:name w:val="info"/>
    <w:rsid w:val="0077270F"/>
  </w:style>
  <w:style w:type="character" w:styleId="volume" w:customStyle="1">
    <w:name w:val="volume"/>
    <w:rsid w:val="0077270F"/>
  </w:style>
  <w:style w:type="character" w:styleId="issue" w:customStyle="1">
    <w:name w:val="issue"/>
    <w:rsid w:val="0077270F"/>
  </w:style>
  <w:style w:type="character" w:styleId="publisher" w:customStyle="1">
    <w:name w:val="publisher"/>
    <w:rsid w:val="0077270F"/>
  </w:style>
  <w:style w:type="character" w:styleId="pages" w:customStyle="1">
    <w:name w:val="pages"/>
    <w:rsid w:val="0077270F"/>
  </w:style>
  <w:style w:type="character" w:styleId="identifier-type" w:customStyle="1">
    <w:name w:val="identifier-type"/>
    <w:rsid w:val="0077270F"/>
  </w:style>
  <w:style w:type="character" w:styleId="Ttulo4Car" w:customStyle="1">
    <w:name w:val="Título 4 Car"/>
    <w:basedOn w:val="Fuentedeprrafopredeter"/>
    <w:link w:val="Ttulo4"/>
    <w:rsid w:val="006C722E"/>
    <w:rPr>
      <w:i/>
      <w:iCs/>
      <w:sz w:val="18"/>
      <w:szCs w:val="18"/>
      <w:lang w:eastAsia="en-US"/>
    </w:rPr>
  </w:style>
  <w:style w:type="character" w:styleId="Ttulo5Car" w:customStyle="1">
    <w:name w:val="Título 5 Car"/>
    <w:basedOn w:val="Fuentedeprrafopredeter"/>
    <w:link w:val="Ttulo5"/>
    <w:rsid w:val="006C722E"/>
    <w:rPr>
      <w:sz w:val="18"/>
      <w:szCs w:val="18"/>
      <w:lang w:eastAsia="en-US"/>
    </w:rPr>
  </w:style>
  <w:style w:type="character" w:styleId="Ttulo6Car" w:customStyle="1">
    <w:name w:val="Título 6 Car"/>
    <w:basedOn w:val="Fuentedeprrafopredeter"/>
    <w:link w:val="Ttulo6"/>
    <w:rsid w:val="006C722E"/>
    <w:rPr>
      <w:i/>
      <w:iCs/>
      <w:sz w:val="16"/>
      <w:szCs w:val="16"/>
      <w:lang w:eastAsia="en-US"/>
    </w:rPr>
  </w:style>
  <w:style w:type="character" w:styleId="Ttulo7Car" w:customStyle="1">
    <w:name w:val="Título 7 Car"/>
    <w:basedOn w:val="Fuentedeprrafopredeter"/>
    <w:link w:val="Ttulo7"/>
    <w:rsid w:val="006C722E"/>
    <w:rPr>
      <w:sz w:val="16"/>
      <w:szCs w:val="16"/>
      <w:lang w:eastAsia="en-US"/>
    </w:rPr>
  </w:style>
  <w:style w:type="character" w:styleId="Ttulo8Car" w:customStyle="1">
    <w:name w:val="Título 8 Car"/>
    <w:basedOn w:val="Fuentedeprrafopredeter"/>
    <w:link w:val="Ttulo8"/>
    <w:rsid w:val="006C722E"/>
    <w:rPr>
      <w:i/>
      <w:iCs/>
      <w:sz w:val="16"/>
      <w:szCs w:val="16"/>
      <w:lang w:eastAsia="en-US"/>
    </w:rPr>
  </w:style>
  <w:style w:type="character" w:styleId="Ttulo9Car" w:customStyle="1">
    <w:name w:val="Título 9 Car"/>
    <w:basedOn w:val="Fuentedeprrafopredeter"/>
    <w:link w:val="Ttulo9"/>
    <w:rsid w:val="006C722E"/>
    <w:rPr>
      <w:sz w:val="16"/>
      <w:szCs w:val="16"/>
      <w:lang w:eastAsia="en-US"/>
    </w:rPr>
  </w:style>
  <w:style w:type="character" w:styleId="Ttulo1Car" w:customStyle="1">
    <w:name w:val="Título 1 Car"/>
    <w:basedOn w:val="Fuentedeprrafopredeter"/>
    <w:link w:val="Ttulo1"/>
    <w:rsid w:val="006C722E"/>
    <w:rPr>
      <w:rFonts w:ascii="Arial" w:hAnsi="Arial" w:cs="Arial"/>
      <w:b/>
      <w:bCs/>
      <w:kern w:val="28"/>
      <w:sz w:val="28"/>
      <w:szCs w:val="28"/>
      <w:lang w:val="en-US" w:eastAsia="en-US"/>
    </w:rPr>
  </w:style>
  <w:style w:type="character" w:styleId="Ttulo2Car" w:customStyle="1">
    <w:name w:val="Título 2 Car"/>
    <w:basedOn w:val="Fuentedeprrafopredeter"/>
    <w:link w:val="Ttulo2"/>
    <w:rsid w:val="006C722E"/>
    <w:rPr>
      <w:i/>
      <w:iCs/>
      <w:szCs w:val="24"/>
      <w:lang w:val="en-US" w:eastAsia="en-US"/>
    </w:rPr>
  </w:style>
  <w:style w:type="character" w:styleId="Ttulo3Car" w:customStyle="1">
    <w:name w:val="Título 3 Car"/>
    <w:basedOn w:val="Fuentedeprrafopredeter"/>
    <w:link w:val="Ttulo3"/>
    <w:rsid w:val="006C722E"/>
    <w:rPr>
      <w:rFonts w:ascii="Arial" w:hAnsi="Arial" w:cs="Arial"/>
      <w:szCs w:val="24"/>
      <w:lang w:val="en-US" w:eastAsia="en-US"/>
    </w:rPr>
  </w:style>
  <w:style w:type="paragraph" w:styleId="Ttulo">
    <w:name w:val="Title"/>
    <w:basedOn w:val="Normal"/>
    <w:next w:val="Normal"/>
    <w:link w:val="TtuloCar"/>
    <w:qFormat/>
    <w:rsid w:val="006C722E"/>
    <w:pPr>
      <w:framePr w:w="9360" w:vSpace="187" w:hSpace="187" w:wrap="notBeside" w:hAnchor="page" w:vAnchor="text" w:xAlign="center" w:y="1"/>
      <w:ind w:firstLine="270"/>
      <w:jc w:val="center"/>
    </w:pPr>
    <w:rPr>
      <w:rFonts w:ascii="Cambria" w:hAnsi="Cambria"/>
      <w:color w:val="0F243E"/>
      <w:kern w:val="28"/>
      <w:sz w:val="44"/>
      <w:szCs w:val="36"/>
    </w:rPr>
  </w:style>
  <w:style w:type="character" w:styleId="TtuloCar" w:customStyle="1">
    <w:name w:val="Título Car"/>
    <w:basedOn w:val="Fuentedeprrafopredeter"/>
    <w:link w:val="Ttulo"/>
    <w:rsid w:val="006C722E"/>
    <w:rPr>
      <w:rFonts w:ascii="Cambria" w:hAnsi="Cambria"/>
      <w:color w:val="0F243E"/>
      <w:kern w:val="28"/>
      <w:sz w:val="44"/>
      <w:szCs w:val="36"/>
      <w:lang w:eastAsia="en-US"/>
    </w:rPr>
  </w:style>
  <w:style w:type="paragraph" w:styleId="Authors" w:customStyle="1">
    <w:name w:val="Authors"/>
    <w:basedOn w:val="Normal"/>
    <w:next w:val="Normal"/>
    <w:link w:val="AuthorsChar"/>
    <w:rsid w:val="006C722E"/>
    <w:pPr>
      <w:framePr w:w="9072" w:vSpace="187" w:hSpace="187" w:wrap="notBeside" w:hAnchor="page" w:vAnchor="text" w:xAlign="center" w:y="1"/>
      <w:spacing w:after="320"/>
      <w:ind w:firstLine="270"/>
      <w:jc w:val="center"/>
    </w:pPr>
    <w:rPr>
      <w:sz w:val="22"/>
      <w:szCs w:val="22"/>
    </w:rPr>
  </w:style>
  <w:style w:type="character" w:styleId="MemberType" w:customStyle="1">
    <w:name w:val="MemberType"/>
    <w:rsid w:val="006C722E"/>
    <w:rPr>
      <w:rFonts w:ascii="Times New Roman" w:hAnsi="Times New Roman" w:cs="Times New Roman"/>
      <w:i/>
      <w:iCs/>
      <w:sz w:val="22"/>
      <w:szCs w:val="22"/>
    </w:rPr>
  </w:style>
  <w:style w:type="character" w:styleId="citation" w:customStyle="1">
    <w:name w:val="citation"/>
    <w:basedOn w:val="Fuentedeprrafopredeter"/>
    <w:rsid w:val="006C722E"/>
  </w:style>
  <w:style w:type="character" w:styleId="a" w:customStyle="1">
    <w:name w:val="a"/>
    <w:basedOn w:val="Fuentedeprrafopredeter"/>
    <w:rsid w:val="006C722E"/>
  </w:style>
  <w:style w:type="character" w:styleId="Refdenotaalpie">
    <w:name w:val="footnote reference"/>
    <w:uiPriority w:val="99"/>
    <w:unhideWhenUsed/>
    <w:rsid w:val="006C722E"/>
    <w:rPr>
      <w:vertAlign w:val="superscript"/>
    </w:rPr>
  </w:style>
  <w:style w:type="paragraph" w:styleId="Abstract" w:customStyle="1">
    <w:name w:val="Abstract"/>
    <w:basedOn w:val="Normal"/>
    <w:next w:val="Normal"/>
    <w:link w:val="AbstractChar"/>
    <w:rsid w:val="006C722E"/>
    <w:pPr>
      <w:spacing w:before="20"/>
      <w:ind w:firstLine="202"/>
      <w:jc w:val="both"/>
    </w:pPr>
    <w:rPr>
      <w:b/>
      <w:bCs/>
      <w:sz w:val="18"/>
      <w:szCs w:val="18"/>
    </w:rPr>
  </w:style>
  <w:style w:type="paragraph" w:styleId="IndexTerms" w:customStyle="1">
    <w:name w:val="IndexTerms"/>
    <w:basedOn w:val="Normal"/>
    <w:next w:val="Normal"/>
    <w:rsid w:val="006C722E"/>
    <w:pPr>
      <w:ind w:firstLine="202"/>
      <w:jc w:val="both"/>
    </w:pPr>
    <w:rPr>
      <w:b/>
      <w:bCs/>
      <w:sz w:val="18"/>
      <w:szCs w:val="18"/>
    </w:rPr>
  </w:style>
  <w:style w:type="paragraph" w:styleId="Descripcin">
    <w:name w:val="caption"/>
    <w:basedOn w:val="Normal"/>
    <w:next w:val="Normal"/>
    <w:uiPriority w:val="35"/>
    <w:qFormat/>
    <w:rsid w:val="006C722E"/>
    <w:pPr>
      <w:autoSpaceDE/>
      <w:autoSpaceDN/>
      <w:ind w:firstLine="270"/>
    </w:pPr>
    <w:rPr>
      <w:rFonts w:eastAsia="Calibri"/>
      <w:b/>
      <w:bCs/>
    </w:rPr>
  </w:style>
  <w:style w:type="table" w:styleId="Tablaconcuadrcula">
    <w:name w:val="Table Grid"/>
    <w:basedOn w:val="Tablanormal"/>
    <w:uiPriority w:val="39"/>
    <w:rsid w:val="006C722E"/>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PiedepginaCar" w:customStyle="1">
    <w:name w:val="Pie de página Car"/>
    <w:basedOn w:val="Fuentedeprrafopredeter"/>
    <w:link w:val="Piedepgina"/>
    <w:uiPriority w:val="99"/>
    <w:rsid w:val="006C722E"/>
    <w:rPr>
      <w:lang w:val="en-US" w:eastAsia="en-US"/>
    </w:rPr>
  </w:style>
  <w:style w:type="character" w:styleId="AuthorsChar" w:customStyle="1">
    <w:name w:val="Authors Char"/>
    <w:link w:val="Authors"/>
    <w:rsid w:val="006C722E"/>
    <w:rPr>
      <w:sz w:val="22"/>
      <w:szCs w:val="22"/>
      <w:lang w:eastAsia="en-US"/>
    </w:rPr>
  </w:style>
  <w:style w:type="character" w:styleId="AutoresChar" w:customStyle="1">
    <w:name w:val="Autores Char"/>
    <w:basedOn w:val="AuthorsChar"/>
    <w:link w:val="Autores"/>
    <w:rsid w:val="006C722E"/>
    <w:rPr>
      <w:color w:val="1F497D"/>
      <w:sz w:val="22"/>
      <w:szCs w:val="22"/>
      <w:lang w:eastAsia="en-US"/>
    </w:rPr>
  </w:style>
  <w:style w:type="paragraph" w:styleId="Refs" w:customStyle="1">
    <w:name w:val="Refs"/>
    <w:basedOn w:val="Normal"/>
    <w:link w:val="RefsChar"/>
    <w:qFormat/>
    <w:rsid w:val="006C722E"/>
    <w:pPr>
      <w:autoSpaceDE/>
      <w:autoSpaceDN/>
      <w:ind w:firstLine="270"/>
    </w:pPr>
    <w:rPr>
      <w:sz w:val="16"/>
    </w:rPr>
  </w:style>
  <w:style w:type="character" w:styleId="AbstractChar" w:customStyle="1">
    <w:name w:val="Abstract Char"/>
    <w:link w:val="Abstract"/>
    <w:rsid w:val="006C722E"/>
    <w:rPr>
      <w:b/>
      <w:bCs/>
      <w:sz w:val="18"/>
      <w:szCs w:val="18"/>
      <w:lang w:eastAsia="en-US"/>
    </w:rPr>
  </w:style>
  <w:style w:type="character" w:styleId="ResumenChar" w:customStyle="1">
    <w:name w:val="Resumen Char"/>
    <w:basedOn w:val="AbstractChar"/>
    <w:link w:val="Resumen"/>
    <w:rsid w:val="006C722E"/>
    <w:rPr>
      <w:b/>
      <w:bCs/>
      <w:iCs/>
      <w:color w:val="1F497D"/>
      <w:sz w:val="18"/>
      <w:szCs w:val="18"/>
      <w:lang w:eastAsia="en-US"/>
    </w:rPr>
  </w:style>
  <w:style w:type="paragraph" w:styleId="Vita" w:customStyle="1">
    <w:name w:val="Vita"/>
    <w:basedOn w:val="Normal"/>
    <w:link w:val="VitaChar"/>
    <w:qFormat/>
    <w:rsid w:val="006C722E"/>
    <w:pPr>
      <w:autoSpaceDE/>
      <w:autoSpaceDN/>
      <w:spacing w:after="60"/>
      <w:ind w:firstLine="270"/>
    </w:pPr>
    <w:rPr>
      <w:rFonts w:eastAsia="Calibri"/>
      <w:sz w:val="16"/>
      <w:szCs w:val="16"/>
    </w:rPr>
  </w:style>
  <w:style w:type="character" w:styleId="RefsChar" w:customStyle="1">
    <w:name w:val="Refs Char"/>
    <w:link w:val="Refs"/>
    <w:rsid w:val="006C722E"/>
    <w:rPr>
      <w:sz w:val="16"/>
      <w:lang w:eastAsia="en-US"/>
    </w:rPr>
  </w:style>
  <w:style w:type="paragraph" w:styleId="Figura" w:customStyle="1">
    <w:name w:val="Figura"/>
    <w:basedOn w:val="Normal"/>
    <w:link w:val="FiguraChar"/>
    <w:qFormat/>
    <w:rsid w:val="006C722E"/>
    <w:pPr>
      <w:autoSpaceDE/>
      <w:autoSpaceDN/>
      <w:ind w:firstLine="270"/>
    </w:pPr>
    <w:rPr>
      <w:rFonts w:ascii="Calibri" w:hAnsi="Calibri" w:eastAsia="Calibri"/>
      <w:color w:val="1F497D"/>
      <w:szCs w:val="22"/>
    </w:rPr>
  </w:style>
  <w:style w:type="character" w:styleId="VitaChar" w:customStyle="1">
    <w:name w:val="Vita Char"/>
    <w:link w:val="Vita"/>
    <w:rsid w:val="006C722E"/>
    <w:rPr>
      <w:rFonts w:eastAsia="Calibri"/>
      <w:sz w:val="16"/>
      <w:szCs w:val="16"/>
      <w:lang w:eastAsia="en-US"/>
    </w:rPr>
  </w:style>
  <w:style w:type="paragraph" w:styleId="Textonotaalfinal">
    <w:name w:val="endnote text"/>
    <w:basedOn w:val="Normal"/>
    <w:link w:val="TextonotaalfinalCar"/>
    <w:uiPriority w:val="99"/>
    <w:unhideWhenUsed/>
    <w:rsid w:val="006C722E"/>
    <w:pPr>
      <w:autoSpaceDE/>
      <w:autoSpaceDN/>
      <w:ind w:firstLine="270"/>
    </w:pPr>
    <w:rPr>
      <w:rFonts w:eastAsia="Calibri"/>
    </w:rPr>
  </w:style>
  <w:style w:type="character" w:styleId="TextonotaalfinalCar" w:customStyle="1">
    <w:name w:val="Texto nota al final Car"/>
    <w:basedOn w:val="Fuentedeprrafopredeter"/>
    <w:link w:val="Textonotaalfinal"/>
    <w:uiPriority w:val="99"/>
    <w:rsid w:val="006C722E"/>
    <w:rPr>
      <w:rFonts w:eastAsia="Calibri"/>
      <w:lang w:eastAsia="en-US"/>
    </w:rPr>
  </w:style>
  <w:style w:type="character" w:styleId="FiguraChar" w:customStyle="1">
    <w:name w:val="Figura Char"/>
    <w:link w:val="Figura"/>
    <w:rsid w:val="006C722E"/>
    <w:rPr>
      <w:rFonts w:ascii="Calibri" w:hAnsi="Calibri" w:eastAsia="Calibri"/>
      <w:color w:val="1F497D"/>
      <w:szCs w:val="22"/>
      <w:lang w:eastAsia="en-US"/>
    </w:rPr>
  </w:style>
  <w:style w:type="character" w:styleId="Refdenotaalfinal">
    <w:name w:val="endnote reference"/>
    <w:uiPriority w:val="99"/>
    <w:unhideWhenUsed/>
    <w:rsid w:val="006C722E"/>
    <w:rPr>
      <w:vertAlign w:val="superscript"/>
    </w:rPr>
  </w:style>
  <w:style w:type="paragraph" w:styleId="7492FB4E59FE47F2B1901BA72A294960" w:customStyle="1">
    <w:name w:val="7492FB4E59FE47F2B1901BA72A294960"/>
    <w:rsid w:val="006C722E"/>
    <w:pPr>
      <w:spacing w:after="200" w:line="276" w:lineRule="auto"/>
    </w:pPr>
    <w:rPr>
      <w:rFonts w:ascii="Calibri" w:hAnsi="Calibri"/>
      <w:sz w:val="22"/>
      <w:szCs w:val="22"/>
      <w:lang w:val="en-US" w:eastAsia="en-US"/>
    </w:rPr>
  </w:style>
  <w:style w:type="character" w:styleId="apple-converted-space" w:customStyle="1">
    <w:name w:val="apple-converted-space"/>
    <w:basedOn w:val="Fuentedeprrafopredeter"/>
    <w:rsid w:val="006C722E"/>
  </w:style>
  <w:style w:type="paragraph" w:styleId="vspace" w:customStyle="1">
    <w:name w:val="vspace"/>
    <w:basedOn w:val="Normal"/>
    <w:rsid w:val="006C722E"/>
    <w:pPr>
      <w:autoSpaceDE/>
      <w:autoSpaceDN/>
      <w:spacing w:before="100" w:beforeAutospacing="1" w:after="100" w:afterAutospacing="1"/>
    </w:pPr>
    <w:rPr>
      <w:sz w:val="24"/>
      <w:szCs w:val="24"/>
    </w:rPr>
  </w:style>
  <w:style w:type="character" w:styleId="nfasis">
    <w:name w:val="Emphasis"/>
    <w:uiPriority w:val="20"/>
    <w:qFormat/>
    <w:rsid w:val="006C722E"/>
    <w:rPr>
      <w:i/>
      <w:iCs/>
    </w:rPr>
  </w:style>
  <w:style w:type="paragraph" w:styleId="Bibliografa">
    <w:name w:val="Bibliography"/>
    <w:basedOn w:val="Normal"/>
    <w:next w:val="Normal"/>
    <w:uiPriority w:val="37"/>
    <w:unhideWhenUsed/>
    <w:rsid w:val="006C722E"/>
    <w:pPr>
      <w:autoSpaceDE/>
      <w:autoSpaceDN/>
      <w:spacing w:after="200" w:line="276" w:lineRule="auto"/>
    </w:pPr>
    <w:rPr>
      <w:rFonts w:ascii="Calibri" w:hAnsi="Calibri" w:eastAsia="MS Mincho"/>
      <w:sz w:val="22"/>
      <w:szCs w:val="22"/>
    </w:rPr>
  </w:style>
  <w:style w:type="paragraph" w:styleId="Tabladeilustraciones">
    <w:name w:val="table of figures"/>
    <w:basedOn w:val="Normal"/>
    <w:next w:val="Normal"/>
    <w:uiPriority w:val="99"/>
    <w:unhideWhenUsed/>
    <w:rsid w:val="006C722E"/>
    <w:pPr>
      <w:autoSpaceDE/>
      <w:autoSpaceDN/>
      <w:ind w:firstLine="270"/>
    </w:pPr>
    <w:rPr>
      <w:rFonts w:eastAsia="Calibri"/>
      <w:szCs w:val="22"/>
    </w:rPr>
  </w:style>
  <w:style w:type="character" w:styleId="Textodelmarcadordeposicin">
    <w:name w:val="Placeholder Text"/>
    <w:basedOn w:val="Fuentedeprrafopredeter"/>
    <w:uiPriority w:val="99"/>
    <w:semiHidden/>
    <w:rsid w:val="006C722E"/>
    <w:rPr>
      <w:color w:val="808080"/>
    </w:rPr>
  </w:style>
  <w:style w:type="paragraph" w:styleId="Textonotapie">
    <w:name w:val="footnote text"/>
    <w:basedOn w:val="Normal"/>
    <w:link w:val="TextonotapieCar"/>
    <w:rsid w:val="00E11FA5"/>
  </w:style>
  <w:style w:type="character" w:styleId="TextonotapieCar" w:customStyle="1">
    <w:name w:val="Texto nota pie Car"/>
    <w:basedOn w:val="Fuentedeprrafopredeter"/>
    <w:link w:val="Textonotapie"/>
    <w:rsid w:val="00E11FA5"/>
    <w:rPr>
      <w:lang w:val="en-US" w:eastAsia="en-US"/>
    </w:rPr>
  </w:style>
  <w:style w:type="paragraph" w:styleId="Estilo1" w:customStyle="1">
    <w:name w:val="Estilo1"/>
    <w:basedOn w:val="Normal"/>
    <w:link w:val="Estilo1Car"/>
    <w:qFormat/>
    <w:rsid w:val="006957D1"/>
    <w:pPr>
      <w:autoSpaceDE/>
      <w:autoSpaceDN/>
      <w:spacing w:after="200" w:line="276" w:lineRule="auto"/>
      <w:jc w:val="both"/>
    </w:pPr>
    <w:rPr>
      <w:rFonts w:ascii="Arial" w:hAnsi="Arial" w:eastAsia="Calibri"/>
      <w:sz w:val="24"/>
      <w:szCs w:val="22"/>
    </w:rPr>
  </w:style>
  <w:style w:type="character" w:styleId="Estilo1Car" w:customStyle="1">
    <w:name w:val="Estilo1 Car"/>
    <w:link w:val="Estilo1"/>
    <w:rsid w:val="006957D1"/>
    <w:rPr>
      <w:rFonts w:ascii="Arial" w:hAnsi="Arial" w:eastAsia="Calibri"/>
      <w:sz w:val="24"/>
      <w:szCs w:val="22"/>
      <w:lang w:eastAsia="en-US"/>
    </w:rPr>
  </w:style>
  <w:style w:type="character" w:styleId="normaltextrun" w:customStyle="1">
    <w:name w:val="normaltextrun"/>
    <w:basedOn w:val="Fuentedeprrafopredeter"/>
    <w:rsid w:val="0030258B"/>
  </w:style>
  <w:style w:type="character" w:styleId="eop" w:customStyle="1">
    <w:name w:val="eop"/>
    <w:basedOn w:val="Fuentedeprrafopredeter"/>
    <w:rsid w:val="003025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702194">
      <w:bodyDiv w:val="1"/>
      <w:marLeft w:val="0"/>
      <w:marRight w:val="0"/>
      <w:marTop w:val="0"/>
      <w:marBottom w:val="0"/>
      <w:divBdr>
        <w:top w:val="none" w:sz="0" w:space="0" w:color="auto"/>
        <w:left w:val="none" w:sz="0" w:space="0" w:color="auto"/>
        <w:bottom w:val="none" w:sz="0" w:space="0" w:color="auto"/>
        <w:right w:val="none" w:sz="0" w:space="0" w:color="auto"/>
      </w:divBdr>
    </w:div>
    <w:div w:id="1283656625">
      <w:bodyDiv w:val="1"/>
      <w:marLeft w:val="0"/>
      <w:marRight w:val="0"/>
      <w:marTop w:val="0"/>
      <w:marBottom w:val="0"/>
      <w:divBdr>
        <w:top w:val="none" w:sz="0" w:space="0" w:color="auto"/>
        <w:left w:val="none" w:sz="0" w:space="0" w:color="auto"/>
        <w:bottom w:val="none" w:sz="0" w:space="0" w:color="auto"/>
        <w:right w:val="none" w:sz="0" w:space="0" w:color="auto"/>
      </w:divBdr>
      <w:divsChild>
        <w:div w:id="1308629997">
          <w:marLeft w:val="0"/>
          <w:marRight w:val="0"/>
          <w:marTop w:val="0"/>
          <w:marBottom w:val="0"/>
          <w:divBdr>
            <w:top w:val="none" w:sz="0" w:space="0" w:color="auto"/>
            <w:left w:val="none" w:sz="0" w:space="0" w:color="auto"/>
            <w:bottom w:val="none" w:sz="0" w:space="0" w:color="auto"/>
            <w:right w:val="none" w:sz="0" w:space="0" w:color="auto"/>
          </w:divBdr>
        </w:div>
        <w:div w:id="1562592130">
          <w:marLeft w:val="0"/>
          <w:marRight w:val="0"/>
          <w:marTop w:val="0"/>
          <w:marBottom w:val="0"/>
          <w:divBdr>
            <w:top w:val="none" w:sz="0" w:space="0" w:color="auto"/>
            <w:left w:val="none" w:sz="0" w:space="0" w:color="auto"/>
            <w:bottom w:val="none" w:sz="0" w:space="0" w:color="auto"/>
            <w:right w:val="none" w:sz="0" w:space="0" w:color="auto"/>
          </w:divBdr>
        </w:div>
      </w:divsChild>
    </w:div>
    <w:div w:id="1612394689">
      <w:bodyDiv w:val="1"/>
      <w:marLeft w:val="0"/>
      <w:marRight w:val="0"/>
      <w:marTop w:val="0"/>
      <w:marBottom w:val="0"/>
      <w:divBdr>
        <w:top w:val="none" w:sz="0" w:space="0" w:color="auto"/>
        <w:left w:val="none" w:sz="0" w:space="0" w:color="auto"/>
        <w:bottom w:val="none" w:sz="0" w:space="0" w:color="auto"/>
        <w:right w:val="none" w:sz="0" w:space="0" w:color="auto"/>
      </w:divBdr>
    </w:div>
    <w:div w:id="1764109998">
      <w:bodyDiv w:val="1"/>
      <w:marLeft w:val="0"/>
      <w:marRight w:val="0"/>
      <w:marTop w:val="0"/>
      <w:marBottom w:val="0"/>
      <w:divBdr>
        <w:top w:val="none" w:sz="0" w:space="0" w:color="auto"/>
        <w:left w:val="none" w:sz="0" w:space="0" w:color="auto"/>
        <w:bottom w:val="none" w:sz="0" w:space="0" w:color="auto"/>
        <w:right w:val="none" w:sz="0" w:space="0" w:color="auto"/>
      </w:divBdr>
    </w:div>
    <w:div w:id="1804151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jpeg" Id="rId11" /><Relationship Type="http://schemas.openxmlformats.org/officeDocument/2006/relationships/webSettings" Target="webSettings.xml" Id="rId5" /><Relationship Type="http://schemas.openxmlformats.org/officeDocument/2006/relationships/image" Target="media/image2.jpeg" Id="rId10"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theme" Target="theme/theme1.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FD047-E824-4E54-BDEA-FDEBFDB1C15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Western Michigan University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IJIE 2004 Paper Template</dc:title>
  <dc:creator>Anil Kumar</dc:creator>
  <lastModifiedBy>Usuario invitado</lastModifiedBy>
  <revision>9</revision>
  <lastPrinted>2022-09-22T18:10:00.0000000Z</lastPrinted>
  <dcterms:created xsi:type="dcterms:W3CDTF">2024-04-17T01:14:00.0000000Z</dcterms:created>
  <dcterms:modified xsi:type="dcterms:W3CDTF">2024-04-17T01:41:21.0353177Z</dcterms:modified>
</coreProperties>
</file>